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14" w:rsidRDefault="00C24014">
      <w:pPr>
        <w:jc w:val="center"/>
      </w:pPr>
    </w:p>
    <w:p w:rsidR="00C24014" w:rsidRDefault="00C24014">
      <w:pPr>
        <w:jc w:val="center"/>
      </w:pPr>
    </w:p>
    <w:p w:rsidR="009D02AC" w:rsidRPr="007657CE" w:rsidRDefault="009D02AC">
      <w:pPr>
        <w:jc w:val="center"/>
      </w:pPr>
    </w:p>
    <w:p w:rsidR="009D02AC" w:rsidRPr="007657CE" w:rsidRDefault="007657CE">
      <w:pPr>
        <w:jc w:val="center"/>
      </w:pPr>
      <w:r w:rsidRPr="007657CE">
        <w:t>PREMIÈRE SECTION</w:t>
      </w:r>
    </w:p>
    <w:p w:rsidR="00C24014" w:rsidRDefault="00C24014">
      <w:pPr>
        <w:jc w:val="center"/>
      </w:pPr>
    </w:p>
    <w:p w:rsidR="00C24014" w:rsidRDefault="00C24014">
      <w:pPr>
        <w:jc w:val="center"/>
      </w:pPr>
    </w:p>
    <w:p w:rsidR="00C24014" w:rsidRDefault="00C24014">
      <w:pPr>
        <w:jc w:val="center"/>
      </w:pPr>
    </w:p>
    <w:p w:rsidR="00C24014" w:rsidRDefault="00C24014">
      <w:pPr>
        <w:jc w:val="center"/>
      </w:pPr>
    </w:p>
    <w:p w:rsidR="00C24014" w:rsidRDefault="00C24014">
      <w:pPr>
        <w:jc w:val="center"/>
      </w:pPr>
    </w:p>
    <w:p w:rsidR="009D02AC" w:rsidRPr="007657CE" w:rsidRDefault="009D02AC">
      <w:pPr>
        <w:jc w:val="center"/>
      </w:pPr>
    </w:p>
    <w:p w:rsidR="009D02AC" w:rsidRPr="007657CE" w:rsidRDefault="009D02AC">
      <w:pPr>
        <w:jc w:val="center"/>
        <w:rPr>
          <w:b/>
        </w:rPr>
      </w:pPr>
      <w:bookmarkStart w:id="0" w:name="To"/>
      <w:r w:rsidRPr="007657CE">
        <w:rPr>
          <w:b/>
        </w:rPr>
        <w:t xml:space="preserve">AFFAIRE </w:t>
      </w:r>
      <w:bookmarkEnd w:id="0"/>
      <w:r w:rsidR="007657CE" w:rsidRPr="007657CE">
        <w:rPr>
          <w:b/>
        </w:rPr>
        <w:t>TSOURLAKIS c. GRÈCE</w:t>
      </w:r>
    </w:p>
    <w:p w:rsidR="009D02AC" w:rsidRPr="007657CE" w:rsidRDefault="009D02AC">
      <w:pPr>
        <w:jc w:val="center"/>
      </w:pPr>
    </w:p>
    <w:p w:rsidR="009D02AC" w:rsidRPr="007657CE" w:rsidRDefault="009D02AC">
      <w:pPr>
        <w:jc w:val="center"/>
        <w:rPr>
          <w:i/>
        </w:rPr>
      </w:pPr>
      <w:r w:rsidRPr="007657CE">
        <w:rPr>
          <w:i/>
        </w:rPr>
        <w:t>(</w:t>
      </w:r>
      <w:r w:rsidR="007657CE" w:rsidRPr="007657CE">
        <w:rPr>
          <w:i/>
        </w:rPr>
        <w:t>Requête n</w:t>
      </w:r>
      <w:r w:rsidR="007657CE" w:rsidRPr="007657CE">
        <w:rPr>
          <w:i/>
          <w:vertAlign w:val="superscript"/>
        </w:rPr>
        <w:t>o</w:t>
      </w:r>
      <w:r w:rsidR="007657CE" w:rsidRPr="007657CE">
        <w:rPr>
          <w:i/>
        </w:rPr>
        <w:t xml:space="preserve"> 50796/07</w:t>
      </w:r>
      <w:r w:rsidRPr="007657CE">
        <w:rPr>
          <w:i/>
        </w:rPr>
        <w:t>)</w:t>
      </w:r>
    </w:p>
    <w:p w:rsidR="00C24014" w:rsidRDefault="00C24014" w:rsidP="00C24014">
      <w:pPr>
        <w:jc w:val="center"/>
        <w:rPr>
          <w:sz w:val="22"/>
        </w:rPr>
      </w:pPr>
    </w:p>
    <w:p w:rsidR="00C24014" w:rsidRDefault="00C24014" w:rsidP="00C24014">
      <w:pPr>
        <w:jc w:val="center"/>
        <w:rPr>
          <w:sz w:val="22"/>
        </w:rPr>
      </w:pPr>
    </w:p>
    <w:p w:rsidR="00C24014" w:rsidRDefault="00C24014" w:rsidP="00C24014">
      <w:pPr>
        <w:jc w:val="center"/>
        <w:rPr>
          <w:sz w:val="22"/>
        </w:rPr>
      </w:pPr>
    </w:p>
    <w:p w:rsidR="003875BF" w:rsidRDefault="003875BF" w:rsidP="00C24014">
      <w:pPr>
        <w:jc w:val="center"/>
        <w:rPr>
          <w:sz w:val="22"/>
        </w:rPr>
      </w:pPr>
    </w:p>
    <w:p w:rsidR="00C24014" w:rsidRDefault="00C24014" w:rsidP="00C24014">
      <w:pPr>
        <w:jc w:val="center"/>
        <w:rPr>
          <w:sz w:val="22"/>
        </w:rPr>
      </w:pPr>
    </w:p>
    <w:p w:rsidR="00C24014" w:rsidRDefault="00C24014" w:rsidP="00C24014">
      <w:pPr>
        <w:jc w:val="center"/>
        <w:rPr>
          <w:sz w:val="22"/>
        </w:rPr>
      </w:pPr>
    </w:p>
    <w:p w:rsidR="003875BF" w:rsidRDefault="003875BF" w:rsidP="00C24014">
      <w:pPr>
        <w:jc w:val="center"/>
        <w:rPr>
          <w:sz w:val="22"/>
        </w:rPr>
      </w:pPr>
    </w:p>
    <w:p w:rsidR="00C24014" w:rsidRPr="00C24014" w:rsidRDefault="00C24014" w:rsidP="00C24014">
      <w:pPr>
        <w:jc w:val="center"/>
        <w:rPr>
          <w:szCs w:val="24"/>
        </w:rPr>
      </w:pPr>
      <w:r w:rsidRPr="00C24014">
        <w:rPr>
          <w:szCs w:val="24"/>
        </w:rPr>
        <w:t>ARRÊT</w:t>
      </w:r>
    </w:p>
    <w:p w:rsidR="00C24014" w:rsidRPr="00C24014" w:rsidRDefault="00C24014" w:rsidP="00C24014">
      <w:pPr>
        <w:jc w:val="center"/>
        <w:rPr>
          <w:szCs w:val="24"/>
        </w:rPr>
      </w:pPr>
    </w:p>
    <w:p w:rsidR="00C24014" w:rsidRPr="00C24014" w:rsidRDefault="00C24014" w:rsidP="00C24014">
      <w:pPr>
        <w:jc w:val="center"/>
        <w:rPr>
          <w:szCs w:val="24"/>
        </w:rPr>
      </w:pPr>
    </w:p>
    <w:p w:rsidR="00C24014" w:rsidRPr="00C24014" w:rsidRDefault="00C24014" w:rsidP="00C24014">
      <w:pPr>
        <w:jc w:val="center"/>
        <w:rPr>
          <w:szCs w:val="24"/>
        </w:rPr>
      </w:pPr>
    </w:p>
    <w:p w:rsidR="00C24014" w:rsidRPr="00C24014" w:rsidRDefault="00C24014" w:rsidP="00C24014">
      <w:pPr>
        <w:jc w:val="center"/>
        <w:rPr>
          <w:szCs w:val="24"/>
        </w:rPr>
      </w:pPr>
      <w:r w:rsidRPr="00C24014">
        <w:rPr>
          <w:szCs w:val="24"/>
        </w:rPr>
        <w:t>STRASBOURG</w:t>
      </w:r>
    </w:p>
    <w:p w:rsidR="00C24014" w:rsidRDefault="00C24014" w:rsidP="00C24014">
      <w:pPr>
        <w:jc w:val="center"/>
        <w:rPr>
          <w:szCs w:val="24"/>
        </w:rPr>
      </w:pPr>
    </w:p>
    <w:p w:rsidR="00C24014" w:rsidRPr="00C24014" w:rsidRDefault="00C24014" w:rsidP="00C24014">
      <w:pPr>
        <w:jc w:val="center"/>
        <w:rPr>
          <w:szCs w:val="24"/>
        </w:rPr>
      </w:pPr>
      <w:r w:rsidRPr="00C24014">
        <w:rPr>
          <w:szCs w:val="24"/>
        </w:rPr>
        <w:t>15 octobre 2009</w:t>
      </w:r>
    </w:p>
    <w:p w:rsidR="00C24014" w:rsidRDefault="00C24014" w:rsidP="00C24014">
      <w:pPr>
        <w:jc w:val="center"/>
        <w:rPr>
          <w:sz w:val="22"/>
        </w:rPr>
      </w:pPr>
    </w:p>
    <w:p w:rsidR="006608FF" w:rsidRDefault="006608FF" w:rsidP="006608FF">
      <w:pPr>
        <w:jc w:val="center"/>
        <w:rPr>
          <w:b/>
          <w:color w:val="FF0000"/>
          <w:szCs w:val="24"/>
          <w:u w:val="single"/>
        </w:rPr>
      </w:pPr>
      <w:r w:rsidRPr="008F13C5">
        <w:rPr>
          <w:b/>
          <w:color w:val="FF0000"/>
          <w:szCs w:val="24"/>
          <w:u w:val="single"/>
        </w:rPr>
        <w:t>DÉFINITIF</w:t>
      </w:r>
    </w:p>
    <w:p w:rsidR="006608FF" w:rsidRPr="008F13C5" w:rsidRDefault="006608FF" w:rsidP="006608FF">
      <w:pPr>
        <w:jc w:val="center"/>
        <w:rPr>
          <w:b/>
          <w:color w:val="FF0000"/>
          <w:szCs w:val="24"/>
          <w:u w:val="single"/>
        </w:rPr>
      </w:pPr>
    </w:p>
    <w:p w:rsidR="006608FF" w:rsidRDefault="006608FF" w:rsidP="006608FF">
      <w:pPr>
        <w:jc w:val="center"/>
        <w:rPr>
          <w:i/>
          <w:color w:val="FF0000"/>
          <w:szCs w:val="24"/>
        </w:rPr>
      </w:pPr>
      <w:r>
        <w:rPr>
          <w:i/>
          <w:color w:val="FF0000"/>
          <w:szCs w:val="24"/>
        </w:rPr>
        <w:t>01/03</w:t>
      </w:r>
      <w:r w:rsidRPr="008F13C5">
        <w:rPr>
          <w:i/>
          <w:color w:val="FF0000"/>
          <w:szCs w:val="24"/>
        </w:rPr>
        <w:t>/2010</w:t>
      </w:r>
    </w:p>
    <w:p w:rsidR="00314427" w:rsidRDefault="00314427" w:rsidP="00C24014">
      <w:pPr>
        <w:jc w:val="center"/>
        <w:rPr>
          <w:sz w:val="22"/>
        </w:rPr>
      </w:pPr>
    </w:p>
    <w:p w:rsidR="00941092" w:rsidRPr="00C24014" w:rsidRDefault="00C24014" w:rsidP="00C24014">
      <w:pPr>
        <w:jc w:val="both"/>
      </w:pPr>
      <w:r>
        <w:rPr>
          <w:i/>
          <w:sz w:val="22"/>
        </w:rPr>
        <w:t>Cet arrêt deviendra définitif dans les conditions définies à l</w:t>
      </w:r>
      <w:r w:rsidR="006608FF">
        <w:rPr>
          <w:i/>
          <w:sz w:val="22"/>
        </w:rPr>
        <w:t>'</w:t>
      </w:r>
      <w:r>
        <w:rPr>
          <w:i/>
          <w:sz w:val="22"/>
        </w:rPr>
        <w:t>article 44 § 2 de la Convention. Il peut subir des retouches de forme.</w:t>
      </w:r>
    </w:p>
    <w:p w:rsidR="00C24014" w:rsidRDefault="00C24014" w:rsidP="00C5274B">
      <w:pPr>
        <w:pStyle w:val="JuCase"/>
        <w:sectPr w:rsidR="00C24014" w:rsidSect="00C240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78"/>
        </w:sectPr>
      </w:pPr>
    </w:p>
    <w:p w:rsidR="009D02AC" w:rsidRPr="007657CE" w:rsidRDefault="009D02AC" w:rsidP="00C5274B">
      <w:pPr>
        <w:pStyle w:val="JuCase"/>
      </w:pPr>
      <w:r w:rsidRPr="007657CE">
        <w:t>En l</w:t>
      </w:r>
      <w:r w:rsidR="006608FF">
        <w:t>'</w:t>
      </w:r>
      <w:r w:rsidRPr="007657CE">
        <w:t xml:space="preserve">affaire </w:t>
      </w:r>
      <w:r w:rsidR="007657CE" w:rsidRPr="007657CE">
        <w:t>Tsourlakis c. Grèce</w:t>
      </w:r>
      <w:r w:rsidRPr="007657CE">
        <w:t>,</w:t>
      </w:r>
    </w:p>
    <w:p w:rsidR="00924874" w:rsidRPr="007657CE" w:rsidRDefault="009D02AC" w:rsidP="00C5274B">
      <w:pPr>
        <w:pStyle w:val="JuPara"/>
      </w:pPr>
      <w:r w:rsidRPr="007657CE">
        <w:t xml:space="preserve">La Cour européenne des </w:t>
      </w:r>
      <w:r w:rsidR="00BC0BF0" w:rsidRPr="007657CE">
        <w:t>d</w:t>
      </w:r>
      <w:r w:rsidRPr="007657CE">
        <w:t>roits de l</w:t>
      </w:r>
      <w:r w:rsidR="006608FF">
        <w:t>'</w:t>
      </w:r>
      <w:r w:rsidR="00BC0BF0" w:rsidRPr="007657CE">
        <w:t>h</w:t>
      </w:r>
      <w:r w:rsidRPr="007657CE">
        <w:t>omme</w:t>
      </w:r>
      <w:r w:rsidR="007657CE" w:rsidRPr="007657CE">
        <w:t xml:space="preserve"> (première section)</w:t>
      </w:r>
      <w:r w:rsidRPr="007657CE">
        <w:t xml:space="preserve">, siégeant en une </w:t>
      </w:r>
      <w:r w:rsidR="007657CE" w:rsidRPr="007657CE">
        <w:t>chambre</w:t>
      </w:r>
      <w:r w:rsidR="00924874" w:rsidRPr="007657CE">
        <w:t xml:space="preserve"> composée de :</w:t>
      </w:r>
    </w:p>
    <w:p w:rsidR="004953B2" w:rsidRPr="006B5AD6" w:rsidRDefault="00DD47FE" w:rsidP="004953B2">
      <w:pPr>
        <w:pStyle w:val="JuJudges"/>
      </w:pPr>
      <w:r w:rsidRPr="00DD47FE">
        <w:tab/>
        <w:t>Nina</w:t>
      </w:r>
      <w:r>
        <w:t xml:space="preserve"> </w:t>
      </w:r>
      <w:r w:rsidRPr="00DD47FE">
        <w:t>Vajić</w:t>
      </w:r>
      <w:r>
        <w:t>,</w:t>
      </w:r>
      <w:r w:rsidRPr="00DD47FE">
        <w:rPr>
          <w:i/>
        </w:rPr>
        <w:t xml:space="preserve"> présidente,</w:t>
      </w:r>
      <w:r>
        <w:rPr>
          <w:i/>
        </w:rPr>
        <w:br/>
      </w:r>
      <w:r w:rsidRPr="00DD47FE">
        <w:tab/>
        <w:t>Christos</w:t>
      </w:r>
      <w:r>
        <w:t xml:space="preserve"> </w:t>
      </w:r>
      <w:r w:rsidRPr="00DD47FE">
        <w:t>Rozakis</w:t>
      </w:r>
      <w:r>
        <w:t>,</w:t>
      </w:r>
      <w:r>
        <w:rPr>
          <w:i/>
        </w:rPr>
        <w:br/>
      </w:r>
      <w:r w:rsidRPr="00DD47FE">
        <w:tab/>
        <w:t>Khanlar</w:t>
      </w:r>
      <w:r>
        <w:t xml:space="preserve"> </w:t>
      </w:r>
      <w:r w:rsidRPr="00DD47FE">
        <w:t>Hajiyev</w:t>
      </w:r>
      <w:r>
        <w:t>,</w:t>
      </w:r>
      <w:r>
        <w:rPr>
          <w:i/>
        </w:rPr>
        <w:br/>
      </w:r>
      <w:r w:rsidRPr="00DD47FE">
        <w:tab/>
        <w:t>Dean</w:t>
      </w:r>
      <w:r>
        <w:t xml:space="preserve"> </w:t>
      </w:r>
      <w:r w:rsidRPr="00DD47FE">
        <w:t>Spielmann</w:t>
      </w:r>
      <w:r>
        <w:t>,</w:t>
      </w:r>
      <w:r>
        <w:rPr>
          <w:i/>
        </w:rPr>
        <w:br/>
      </w:r>
      <w:r w:rsidRPr="00DD47FE">
        <w:tab/>
        <w:t>Sverre Erik</w:t>
      </w:r>
      <w:r>
        <w:t xml:space="preserve"> </w:t>
      </w:r>
      <w:r w:rsidRPr="00DD47FE">
        <w:t>Jebens</w:t>
      </w:r>
      <w:r>
        <w:t>,</w:t>
      </w:r>
      <w:r>
        <w:rPr>
          <w:i/>
        </w:rPr>
        <w:br/>
      </w:r>
      <w:r w:rsidRPr="00DD47FE">
        <w:tab/>
        <w:t>Giorgio</w:t>
      </w:r>
      <w:r>
        <w:t xml:space="preserve"> </w:t>
      </w:r>
      <w:r w:rsidRPr="00DD47FE">
        <w:t>Malinverni</w:t>
      </w:r>
      <w:r>
        <w:t>,</w:t>
      </w:r>
      <w:r>
        <w:rPr>
          <w:i/>
        </w:rPr>
        <w:br/>
      </w:r>
      <w:r w:rsidRPr="00DD47FE">
        <w:tab/>
        <w:t>George</w:t>
      </w:r>
      <w:r>
        <w:t xml:space="preserve"> </w:t>
      </w:r>
      <w:r w:rsidRPr="00DD47FE">
        <w:t>Nicolaou</w:t>
      </w:r>
      <w:r>
        <w:t>,</w:t>
      </w:r>
      <w:r w:rsidRPr="00DD47FE">
        <w:rPr>
          <w:i/>
        </w:rPr>
        <w:t xml:space="preserve"> juges,</w:t>
      </w:r>
      <w:r>
        <w:rPr>
          <w:i/>
        </w:rPr>
        <w:br/>
      </w:r>
      <w:r w:rsidR="004953B2" w:rsidRPr="006B5AD6">
        <w:t xml:space="preserve">et de </w:t>
      </w:r>
      <w:r w:rsidR="004953B2">
        <w:t>André Wampach</w:t>
      </w:r>
      <w:r w:rsidR="004953B2" w:rsidRPr="006B5AD6">
        <w:t xml:space="preserve">, </w:t>
      </w:r>
      <w:r w:rsidR="004953B2" w:rsidRPr="006B5AD6">
        <w:rPr>
          <w:i/>
        </w:rPr>
        <w:t>greffier</w:t>
      </w:r>
      <w:r w:rsidR="004953B2">
        <w:rPr>
          <w:i/>
        </w:rPr>
        <w:t xml:space="preserve"> adjoint</w:t>
      </w:r>
      <w:r w:rsidR="004953B2" w:rsidRPr="006B5AD6">
        <w:rPr>
          <w:i/>
        </w:rPr>
        <w:t xml:space="preserve"> de section</w:t>
      </w:r>
      <w:r w:rsidR="004953B2" w:rsidRPr="006B5AD6">
        <w:t>,</w:t>
      </w:r>
    </w:p>
    <w:p w:rsidR="009D02AC" w:rsidRPr="007657CE" w:rsidRDefault="009D02AC">
      <w:pPr>
        <w:pStyle w:val="JuPara"/>
      </w:pPr>
      <w:r w:rsidRPr="007657CE">
        <w:t xml:space="preserve">Après en avoir délibéré en chambre du conseil le </w:t>
      </w:r>
      <w:r w:rsidR="00DD47FE">
        <w:t>24 septembre 2009</w:t>
      </w:r>
      <w:r w:rsidRPr="007657CE">
        <w:t>,</w:t>
      </w:r>
    </w:p>
    <w:p w:rsidR="009D02AC" w:rsidRPr="007657CE" w:rsidRDefault="009D02AC">
      <w:pPr>
        <w:pStyle w:val="JuPara"/>
      </w:pPr>
      <w:r w:rsidRPr="007657CE">
        <w:t>Rend l</w:t>
      </w:r>
      <w:r w:rsidR="006608FF">
        <w:t>'</w:t>
      </w:r>
      <w:r w:rsidRPr="007657CE">
        <w:t>arrêt que voici, adopté à cette date :</w:t>
      </w:r>
    </w:p>
    <w:p w:rsidR="009D02AC" w:rsidRPr="007657CE" w:rsidRDefault="009D02AC">
      <w:pPr>
        <w:pStyle w:val="JuHHead"/>
      </w:pPr>
      <w:r w:rsidRPr="007657CE">
        <w:t>PROCÉDURE</w:t>
      </w:r>
    </w:p>
    <w:p w:rsidR="00890254" w:rsidRDefault="007657CE" w:rsidP="00371E1A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1</w:t>
      </w:r>
      <w:r w:rsidRPr="007657CE">
        <w:fldChar w:fldCharType="end"/>
      </w:r>
      <w:r w:rsidR="009D02AC" w:rsidRPr="007657CE">
        <w:t>.  A l</w:t>
      </w:r>
      <w:r w:rsidR="006608FF">
        <w:t>'</w:t>
      </w:r>
      <w:r w:rsidR="009D02AC" w:rsidRPr="007657CE">
        <w:t>origine de l</w:t>
      </w:r>
      <w:r w:rsidR="006608FF">
        <w:t>'</w:t>
      </w:r>
      <w:r w:rsidR="009D02AC" w:rsidRPr="007657CE">
        <w:t xml:space="preserve">affaire </w:t>
      </w:r>
      <w:r w:rsidRPr="007657CE">
        <w:t>se trouve une requête (n</w:t>
      </w:r>
      <w:r w:rsidRPr="007657CE">
        <w:rPr>
          <w:vertAlign w:val="superscript"/>
        </w:rPr>
        <w:t>o</w:t>
      </w:r>
      <w:r w:rsidRPr="007657CE">
        <w:t xml:space="preserve"> 50796/07) dirigée</w:t>
      </w:r>
      <w:r w:rsidR="009D02AC" w:rsidRPr="007657CE">
        <w:t xml:space="preserve"> contre </w:t>
      </w:r>
      <w:r w:rsidRPr="007657CE">
        <w:t>la République hellénique</w:t>
      </w:r>
      <w:r w:rsidR="009D02AC" w:rsidRPr="007657CE">
        <w:t xml:space="preserve"> et dont </w:t>
      </w:r>
      <w:r w:rsidRPr="007657CE">
        <w:t>u</w:t>
      </w:r>
      <w:r w:rsidR="008056B6">
        <w:t>n ressortissant de cet Etat, M. </w:t>
      </w:r>
      <w:r w:rsidRPr="007657CE">
        <w:t>Konstantinos Tsourlakis (« le req</w:t>
      </w:r>
      <w:r w:rsidR="008056B6">
        <w:t>uérant »), a saisi la Cour le 8 novembre </w:t>
      </w:r>
      <w:r w:rsidRPr="007657CE">
        <w:t>2007</w:t>
      </w:r>
      <w:r w:rsidR="009D02AC" w:rsidRPr="007657CE">
        <w:t xml:space="preserve"> en vertu de </w:t>
      </w:r>
      <w:r w:rsidRPr="007657CE">
        <w:t>l</w:t>
      </w:r>
      <w:r w:rsidR="006608FF">
        <w:t>'</w:t>
      </w:r>
      <w:r w:rsidRPr="007657CE">
        <w:t>article 34</w:t>
      </w:r>
      <w:r w:rsidR="009D02AC" w:rsidRPr="007657CE">
        <w:t xml:space="preserve"> de la Convention de sauvegarde des </w:t>
      </w:r>
      <w:r w:rsidR="00BC0BF0" w:rsidRPr="007657CE">
        <w:t>d</w:t>
      </w:r>
      <w:r w:rsidR="009D02AC" w:rsidRPr="007657CE">
        <w:t>roits de l</w:t>
      </w:r>
      <w:r w:rsidR="006608FF">
        <w:t>'</w:t>
      </w:r>
      <w:r w:rsidR="00BC0BF0" w:rsidRPr="007657CE">
        <w:t>h</w:t>
      </w:r>
      <w:r w:rsidR="003956D1" w:rsidRPr="007657CE">
        <w:t>omme et des l</w:t>
      </w:r>
      <w:r w:rsidR="009D02AC" w:rsidRPr="007657CE">
        <w:t>ibertés fondamentales (« la Convention »).</w:t>
      </w:r>
    </w:p>
    <w:p w:rsidR="00890254" w:rsidRDefault="007657CE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2</w:t>
      </w:r>
      <w:r w:rsidRPr="007657CE">
        <w:fldChar w:fldCharType="end"/>
      </w:r>
      <w:r w:rsidR="009D02AC" w:rsidRPr="007657CE">
        <w:t>.  </w:t>
      </w:r>
      <w:r w:rsidRPr="007657CE">
        <w:t>Le requérant est représenté par M</w:t>
      </w:r>
      <w:r w:rsidRPr="007657CE">
        <w:rPr>
          <w:vertAlign w:val="superscript"/>
        </w:rPr>
        <w:t>e</w:t>
      </w:r>
      <w:r w:rsidRPr="007657CE">
        <w:t xml:space="preserve"> E. Bitsaxis, avocat à </w:t>
      </w:r>
      <w:r>
        <w:t>Athè</w:t>
      </w:r>
      <w:r w:rsidRPr="007657CE">
        <w:t>n</w:t>
      </w:r>
      <w:r>
        <w:t>e</w:t>
      </w:r>
      <w:r w:rsidRPr="007657CE">
        <w:t xml:space="preserve">s. </w:t>
      </w:r>
      <w:r w:rsidR="009D02AC" w:rsidRPr="007657CE">
        <w:t xml:space="preserve">Le gouvernement </w:t>
      </w:r>
      <w:r w:rsidRPr="007657CE">
        <w:t>grec</w:t>
      </w:r>
      <w:r w:rsidR="009D02AC" w:rsidRPr="007657CE">
        <w:t xml:space="preserve"> (« le Gouvernement ») est représenté par</w:t>
      </w:r>
      <w:r w:rsidR="0067314F">
        <w:t xml:space="preserve"> les délégués de</w:t>
      </w:r>
      <w:r w:rsidR="009D02AC" w:rsidRPr="007657CE">
        <w:t xml:space="preserve"> son agent, </w:t>
      </w:r>
      <w:r w:rsidR="0067314F">
        <w:t>M. S. Spyropoulos, assesseur auprès du Conseil juridique de l</w:t>
      </w:r>
      <w:r w:rsidR="006608FF">
        <w:t>'</w:t>
      </w:r>
      <w:r w:rsidR="0067314F">
        <w:t>Etat, et M</w:t>
      </w:r>
      <w:r w:rsidR="0067314F" w:rsidRPr="008056B6">
        <w:rPr>
          <w:vertAlign w:val="superscript"/>
        </w:rPr>
        <w:t>me</w:t>
      </w:r>
      <w:r w:rsidR="0067314F">
        <w:t xml:space="preserve"> S. Trekli, auditrice auprès du Conseil juridique de l</w:t>
      </w:r>
      <w:r w:rsidR="006608FF">
        <w:t>'</w:t>
      </w:r>
      <w:r w:rsidR="0067314F">
        <w:t>Etat.</w:t>
      </w:r>
    </w:p>
    <w:p w:rsidR="009D02AC" w:rsidRDefault="007657CE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3</w:t>
      </w:r>
      <w:r w:rsidRPr="007657CE">
        <w:fldChar w:fldCharType="end"/>
      </w:r>
      <w:r w:rsidR="009D02AC" w:rsidRPr="007657CE">
        <w:t>.  </w:t>
      </w:r>
      <w:r w:rsidRPr="007657CE">
        <w:t>Le requérant alléguait</w:t>
      </w:r>
      <w:r w:rsidR="0067314F">
        <w:t xml:space="preserve"> en particulier</w:t>
      </w:r>
      <w:r w:rsidR="009D02AC" w:rsidRPr="007657CE">
        <w:t xml:space="preserve"> </w:t>
      </w:r>
      <w:r w:rsidR="0067314F">
        <w:t>une vi</w:t>
      </w:r>
      <w:r w:rsidR="00A37D4B">
        <w:t>olation du droit au respect de s</w:t>
      </w:r>
      <w:r w:rsidR="0067314F">
        <w:t>a vie familiale, garanti par l</w:t>
      </w:r>
      <w:r w:rsidR="006608FF">
        <w:t>'</w:t>
      </w:r>
      <w:r w:rsidR="0067314F">
        <w:t>article 8 de la Convention.</w:t>
      </w:r>
    </w:p>
    <w:p w:rsidR="0067314F" w:rsidRPr="00F8276F" w:rsidRDefault="0067314F" w:rsidP="0067314F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</w:t>
      </w:r>
      <w:r>
        <w:fldChar w:fldCharType="end"/>
      </w:r>
      <w:r>
        <w:t xml:space="preserve">.  Le 25 septembre 2008, la </w:t>
      </w:r>
      <w:r w:rsidRPr="00F8276F">
        <w:t>président</w:t>
      </w:r>
      <w:r>
        <w:t>e</w:t>
      </w:r>
      <w:r w:rsidRPr="00F8276F">
        <w:t xml:space="preserve"> de la première section a décidé de communiquer la requête au Gouvernement. Comme le permet l</w:t>
      </w:r>
      <w:r w:rsidR="006608FF">
        <w:t>'</w:t>
      </w:r>
      <w:r w:rsidRPr="00F8276F">
        <w:t>art</w:t>
      </w:r>
      <w:r>
        <w:t xml:space="preserve">icle 29 § 3 de la Convention, il a en outre été </w:t>
      </w:r>
      <w:r w:rsidRPr="00F8276F">
        <w:t xml:space="preserve">décidé </w:t>
      </w:r>
      <w:r>
        <w:rPr>
          <w:rStyle w:val="Strong"/>
          <w:b w:val="0"/>
        </w:rPr>
        <w:t xml:space="preserve">que la </w:t>
      </w:r>
      <w:r w:rsidRPr="00F8276F">
        <w:rPr>
          <w:rStyle w:val="Strong"/>
          <w:b w:val="0"/>
        </w:rPr>
        <w:t>Chambre</w:t>
      </w:r>
      <w:r>
        <w:t xml:space="preserve"> </w:t>
      </w:r>
      <w:r w:rsidRPr="00F8276F">
        <w:t>se prononcerait en même temps sur la recevabilité et le fond.</w:t>
      </w:r>
    </w:p>
    <w:p w:rsidR="009D02AC" w:rsidRPr="007657CE" w:rsidRDefault="009D02AC">
      <w:pPr>
        <w:pStyle w:val="JuHHead"/>
      </w:pPr>
      <w:r w:rsidRPr="007657CE">
        <w:t>EN FAIT</w:t>
      </w:r>
    </w:p>
    <w:p w:rsidR="009D02AC" w:rsidRPr="007657CE" w:rsidRDefault="009D02AC">
      <w:pPr>
        <w:pStyle w:val="JuHIRoman"/>
      </w:pPr>
      <w:r w:rsidRPr="007657CE">
        <w:t>I.  LES CIRCONSTANCES DE L</w:t>
      </w:r>
      <w:r w:rsidR="006608FF">
        <w:t>'</w:t>
      </w:r>
      <w:r w:rsidRPr="007657CE">
        <w:t>ESPÈCE</w:t>
      </w:r>
    </w:p>
    <w:p w:rsidR="009D02AC" w:rsidRPr="007657CE" w:rsidRDefault="0067314F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5</w:t>
      </w:r>
      <w:r>
        <w:fldChar w:fldCharType="end"/>
      </w:r>
      <w:r>
        <w:t>.  </w:t>
      </w:r>
      <w:r w:rsidR="007657CE" w:rsidRPr="007657CE">
        <w:t>Le requérant</w:t>
      </w:r>
      <w:r w:rsidR="00424A68">
        <w:t xml:space="preserve"> est né en 1956 et réside à Athè</w:t>
      </w:r>
      <w:r w:rsidR="007657CE" w:rsidRPr="007657CE">
        <w:t>n</w:t>
      </w:r>
      <w:r w:rsidR="00424A68">
        <w:t>e</w:t>
      </w:r>
      <w:r w:rsidR="007657CE" w:rsidRPr="007657CE">
        <w:t>s.</w:t>
      </w:r>
    </w:p>
    <w:p w:rsidR="00890254" w:rsidRDefault="007657CE" w:rsidP="00424A68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6</w:t>
      </w:r>
      <w:r w:rsidRPr="007657CE">
        <w:fldChar w:fldCharType="end"/>
      </w:r>
      <w:r w:rsidR="009D02AC" w:rsidRPr="007657CE">
        <w:t>.  </w:t>
      </w:r>
      <w:r w:rsidR="00DD47FE">
        <w:t>Le requérant</w:t>
      </w:r>
      <w:r w:rsidR="00424A68">
        <w:t xml:space="preserve"> se maria en 1989 et, la même année, il eut un fils. En août 2000</w:t>
      </w:r>
      <w:r w:rsidR="00CF211F">
        <w:t xml:space="preserve">, </w:t>
      </w:r>
      <w:r w:rsidR="00424A68">
        <w:t>les époux se séparèrent</w:t>
      </w:r>
      <w:r w:rsidR="00132EDE" w:rsidRPr="00132EDE">
        <w:t xml:space="preserve"> </w:t>
      </w:r>
      <w:r w:rsidR="00132EDE">
        <w:t>alors que l</w:t>
      </w:r>
      <w:r w:rsidR="006608FF">
        <w:t>'</w:t>
      </w:r>
      <w:r w:rsidR="00132EDE">
        <w:t>enfant avait onze ans environ</w:t>
      </w:r>
      <w:r w:rsidR="00424A68">
        <w:t xml:space="preserve">. </w:t>
      </w:r>
      <w:r w:rsidR="008056B6">
        <w:t>Les 20 septembre et 7 </w:t>
      </w:r>
      <w:r w:rsidR="000941F1">
        <w:t>novembre 2000, le requérant et son épouse respectivement saisirent le tribunal de grande instance d</w:t>
      </w:r>
      <w:r w:rsidR="006608FF">
        <w:t>'</w:t>
      </w:r>
      <w:r w:rsidR="000941F1">
        <w:t>Athènes d</w:t>
      </w:r>
      <w:r w:rsidR="006608FF">
        <w:t>'</w:t>
      </w:r>
      <w:r w:rsidR="000941F1">
        <w:t>une demande de mesures provisoires tendant à obtenir la garde de l</w:t>
      </w:r>
      <w:r w:rsidR="006608FF">
        <w:t>'</w:t>
      </w:r>
      <w:r w:rsidR="000941F1">
        <w:t xml:space="preserve">enfant et </w:t>
      </w:r>
      <w:r w:rsidR="00132EDE">
        <w:t>le départ</w:t>
      </w:r>
      <w:r w:rsidR="00A37D4B">
        <w:t xml:space="preserve"> du conjoint </w:t>
      </w:r>
      <w:r w:rsidR="00F77F33">
        <w:t>du domicile conjugal. Le 16 mars 2001, le tribunal ordonna l</w:t>
      </w:r>
      <w:r w:rsidR="006608FF">
        <w:t>'</w:t>
      </w:r>
      <w:r w:rsidR="00F77F33">
        <w:t>éloign</w:t>
      </w:r>
      <w:r w:rsidR="008056B6">
        <w:t>ement de l</w:t>
      </w:r>
      <w:r w:rsidR="006608FF">
        <w:t>'</w:t>
      </w:r>
      <w:r w:rsidR="008056B6">
        <w:t xml:space="preserve">épouse du requérant </w:t>
      </w:r>
      <w:r w:rsidR="00F77F33">
        <w:t>du domicile conjugal</w:t>
      </w:r>
      <w:r w:rsidR="004407A2">
        <w:t xml:space="preserve"> et la</w:t>
      </w:r>
      <w:r w:rsidR="00F77F33">
        <w:t xml:space="preserve"> c</w:t>
      </w:r>
      <w:r w:rsidR="004407A2">
        <w:t>ession</w:t>
      </w:r>
      <w:r w:rsidR="00F77F33">
        <w:t xml:space="preserve"> provisoire </w:t>
      </w:r>
      <w:r w:rsidR="00DD47FE">
        <w:t xml:space="preserve">de </w:t>
      </w:r>
      <w:r w:rsidR="00F77F33">
        <w:t>l</w:t>
      </w:r>
      <w:r w:rsidR="006608FF">
        <w:t>'</w:t>
      </w:r>
      <w:r w:rsidR="00F77F33">
        <w:t>usage de celui-ci au requérant</w:t>
      </w:r>
      <w:r w:rsidR="008056B6">
        <w:t xml:space="preserve">, qui en </w:t>
      </w:r>
      <w:r w:rsidR="00F77F33">
        <w:t>était propriétaire</w:t>
      </w:r>
      <w:r w:rsidR="004407A2">
        <w:t>.</w:t>
      </w:r>
      <w:r w:rsidR="00F77F33">
        <w:t xml:space="preserve"> </w:t>
      </w:r>
      <w:r w:rsidR="004407A2">
        <w:t>Il</w:t>
      </w:r>
      <w:r w:rsidR="00F77F33">
        <w:t xml:space="preserve"> accorda la garde de l</w:t>
      </w:r>
      <w:r w:rsidR="006608FF">
        <w:t>'</w:t>
      </w:r>
      <w:r w:rsidR="00F77F33">
        <w:t>enfant à la mère</w:t>
      </w:r>
      <w:r w:rsidR="004407A2">
        <w:t xml:space="preserve"> et fixa le montant des</w:t>
      </w:r>
      <w:r w:rsidR="00770422">
        <w:t xml:space="preserve"> pension</w:t>
      </w:r>
      <w:r w:rsidR="004407A2">
        <w:t>s</w:t>
      </w:r>
      <w:r w:rsidR="00770422">
        <w:t xml:space="preserve"> alimentaire</w:t>
      </w:r>
      <w:r w:rsidR="004407A2">
        <w:t>s</w:t>
      </w:r>
      <w:r w:rsidR="00770422">
        <w:t xml:space="preserve"> </w:t>
      </w:r>
      <w:r w:rsidR="004407A2">
        <w:t>devant être versées par le requérant à</w:t>
      </w:r>
      <w:r w:rsidR="00770422">
        <w:t xml:space="preserve"> 147 </w:t>
      </w:r>
      <w:r w:rsidR="00F77F33">
        <w:t xml:space="preserve">euros </w:t>
      </w:r>
      <w:r w:rsidR="004407A2">
        <w:t>pour</w:t>
      </w:r>
      <w:r w:rsidR="00DD47FE">
        <w:t xml:space="preserve"> la mère et de 294 </w:t>
      </w:r>
      <w:r w:rsidR="00F77F33">
        <w:t xml:space="preserve">euros </w:t>
      </w:r>
      <w:r w:rsidR="004407A2">
        <w:t>pour</w:t>
      </w:r>
      <w:r w:rsidR="00F77F33">
        <w:t xml:space="preserve"> l</w:t>
      </w:r>
      <w:r w:rsidR="006608FF">
        <w:t>'</w:t>
      </w:r>
      <w:r w:rsidR="00F77F33">
        <w:t>enfant.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7</w:t>
      </w:r>
      <w:r>
        <w:fldChar w:fldCharType="end"/>
      </w:r>
      <w:r>
        <w:t>.  </w:t>
      </w:r>
      <w:r w:rsidR="00424A68">
        <w:t>L</w:t>
      </w:r>
      <w:r w:rsidR="006608FF">
        <w:t>'</w:t>
      </w:r>
      <w:r w:rsidR="00424A68">
        <w:t>épouse du requérant saisit le tribunal de grande instance d</w:t>
      </w:r>
      <w:r w:rsidR="006608FF">
        <w:t>'</w:t>
      </w:r>
      <w:r w:rsidR="00424A68">
        <w:t>Athènes d</w:t>
      </w:r>
      <w:r w:rsidR="006608FF">
        <w:t>'</w:t>
      </w:r>
      <w:r w:rsidR="00424A68">
        <w:t>une demande tendant à obtenir la garde définitive de l</w:t>
      </w:r>
      <w:r w:rsidR="006608FF">
        <w:t>'</w:t>
      </w:r>
      <w:r w:rsidR="00424A68">
        <w:t>enfan</w:t>
      </w:r>
      <w:r w:rsidR="00F81863">
        <w:t>t, ainsi que la somme de 1 470 euros</w:t>
      </w:r>
      <w:r w:rsidR="00424A68">
        <w:t xml:space="preserve"> </w:t>
      </w:r>
      <w:r w:rsidR="00770422">
        <w:t>au titre de la</w:t>
      </w:r>
      <w:r w:rsidR="00424A68">
        <w:t xml:space="preserve"> pension alimentaire. Le requérant, de son côté, demanda la garde de l</w:t>
      </w:r>
      <w:r w:rsidR="006608FF">
        <w:t>'</w:t>
      </w:r>
      <w:r w:rsidR="00424A68">
        <w:t xml:space="preserve">enfant ou </w:t>
      </w:r>
      <w:r w:rsidR="00A37D4B">
        <w:t>tout au</w:t>
      </w:r>
      <w:r w:rsidR="00424A68">
        <w:t xml:space="preserve"> moins </w:t>
      </w:r>
      <w:r w:rsidR="00EF7A14">
        <w:t xml:space="preserve">à </w:t>
      </w:r>
      <w:r w:rsidR="00F81863">
        <w:t xml:space="preserve">être chargé de </w:t>
      </w:r>
      <w:r w:rsidR="00424A68">
        <w:t>l</w:t>
      </w:r>
      <w:r w:rsidR="006608FF">
        <w:t>'</w:t>
      </w:r>
      <w:r w:rsidR="00424A68">
        <w:t xml:space="preserve">administration du patrimoine de son fils et </w:t>
      </w:r>
      <w:r w:rsidR="00770422">
        <w:t>de s</w:t>
      </w:r>
      <w:r w:rsidR="00424A68">
        <w:t xml:space="preserve">a représentation </w:t>
      </w:r>
      <w:r w:rsidR="00770422">
        <w:t>dans</w:t>
      </w:r>
      <w:r w:rsidR="00424A68">
        <w:t xml:space="preserve"> toute procédure relative à ce patrimoine.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8</w:t>
      </w:r>
      <w:r>
        <w:fldChar w:fldCharType="end"/>
      </w:r>
      <w:r>
        <w:t>.  </w:t>
      </w:r>
      <w:r w:rsidR="00424A68">
        <w:t>Par un jugement du 21 novembre 2001, le tribunal de grande instance d</w:t>
      </w:r>
      <w:r w:rsidR="006608FF">
        <w:t>'</w:t>
      </w:r>
      <w:r w:rsidR="00424A68">
        <w:t>Athènes confia la garde de l</w:t>
      </w:r>
      <w:r w:rsidR="006608FF">
        <w:t>'</w:t>
      </w:r>
      <w:r w:rsidR="00424A68">
        <w:t>enfant exclusivement à la mère. Il accorda au requérant l</w:t>
      </w:r>
      <w:r w:rsidR="006608FF">
        <w:t>'</w:t>
      </w:r>
      <w:r w:rsidR="00424A68">
        <w:t>usage du domicile conjugal</w:t>
      </w:r>
      <w:r w:rsidR="00F81863">
        <w:t xml:space="preserve"> et lui enjoignit de verser </w:t>
      </w:r>
      <w:r w:rsidR="00A2238F">
        <w:t>à son fils une pension alimentaire de 352,16 euros.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9</w:t>
      </w:r>
      <w:r>
        <w:fldChar w:fldCharType="end"/>
      </w:r>
      <w:r>
        <w:t>.  </w:t>
      </w:r>
      <w:r w:rsidR="00424A68">
        <w:t>Le</w:t>
      </w:r>
      <w:r w:rsidR="00760E92">
        <w:t>s 3 juin et 4 septembre 2003, le</w:t>
      </w:r>
      <w:r w:rsidR="00424A68">
        <w:t xml:space="preserve"> requérant </w:t>
      </w:r>
      <w:r w:rsidR="0029032C">
        <w:t>et son épouse interjetèrent</w:t>
      </w:r>
      <w:r w:rsidR="00424A68">
        <w:t xml:space="preserve"> appel</w:t>
      </w:r>
      <w:r w:rsidR="0029032C">
        <w:t xml:space="preserve"> contre ce jugement</w:t>
      </w:r>
      <w:r w:rsidR="00424A68">
        <w:t xml:space="preserve"> devant la cour d</w:t>
      </w:r>
      <w:r w:rsidR="006608FF">
        <w:t>'</w:t>
      </w:r>
      <w:r w:rsidR="00424A68">
        <w:t>a</w:t>
      </w:r>
      <w:r w:rsidR="00BF3956">
        <w:t>ppel d</w:t>
      </w:r>
      <w:r w:rsidR="006608FF">
        <w:t>'</w:t>
      </w:r>
      <w:r w:rsidR="00BF3956">
        <w:t xml:space="preserve">Athènes qui, par une décision </w:t>
      </w:r>
      <w:r w:rsidR="005F43AE">
        <w:t xml:space="preserve">avant-dire droit </w:t>
      </w:r>
      <w:r w:rsidR="00BF3956">
        <w:t>du 31 mars 2004</w:t>
      </w:r>
      <w:r w:rsidR="00F61463">
        <w:t xml:space="preserve"> (n</w:t>
      </w:r>
      <w:r w:rsidR="00C24014" w:rsidRPr="00C24014">
        <w:rPr>
          <w:vertAlign w:val="superscript"/>
        </w:rPr>
        <w:t>o</w:t>
      </w:r>
      <w:r w:rsidR="00F61463">
        <w:t> 1935/2004)</w:t>
      </w:r>
      <w:r w:rsidR="00BF3956">
        <w:t>,</w:t>
      </w:r>
      <w:r w:rsidR="00424A68">
        <w:t xml:space="preserve"> ordonna </w:t>
      </w:r>
      <w:r w:rsidR="005F43AE">
        <w:t>une enquête sociale concernant les conditions de vie de l</w:t>
      </w:r>
      <w:r w:rsidR="006608FF">
        <w:t>'</w:t>
      </w:r>
      <w:r w:rsidR="005F43AE">
        <w:t xml:space="preserve">enfant. Cette enquête devait être réalisée par </w:t>
      </w:r>
      <w:r w:rsidR="00424A68">
        <w:t xml:space="preserve">un rapport de la Société pour la protection </w:t>
      </w:r>
      <w:r w:rsidR="00760E92">
        <w:t>de l</w:t>
      </w:r>
      <w:r w:rsidR="006608FF">
        <w:t>'</w:t>
      </w:r>
      <w:r w:rsidR="00760E92">
        <w:t>enfance d</w:t>
      </w:r>
      <w:r w:rsidR="006608FF">
        <w:t>'</w:t>
      </w:r>
      <w:r w:rsidR="00760E92">
        <w:t>Athènes</w:t>
      </w:r>
      <w:r w:rsidR="00DD47FE">
        <w:t>,</w:t>
      </w:r>
      <w:r w:rsidR="00760E92">
        <w:t xml:space="preserve"> qui était chargée d</w:t>
      </w:r>
      <w:r w:rsidR="006608FF">
        <w:t>'</w:t>
      </w:r>
      <w:r w:rsidR="00760E92">
        <w:t xml:space="preserve">établir un rapport et </w:t>
      </w:r>
      <w:r w:rsidR="00A37D4B">
        <w:t xml:space="preserve">de </w:t>
      </w:r>
      <w:r w:rsidR="00760E92">
        <w:t xml:space="preserve">le déposer au tribunal </w:t>
      </w:r>
      <w:r w:rsidR="00C64E8E">
        <w:t>à l</w:t>
      </w:r>
      <w:r w:rsidR="006608FF">
        <w:t>'</w:t>
      </w:r>
      <w:r w:rsidR="00C64E8E">
        <w:t>initiative de la partie la plus diligente</w:t>
      </w:r>
      <w:r w:rsidR="00424A68">
        <w:t xml:space="preserve">. </w:t>
      </w:r>
      <w:r w:rsidR="00BF3956">
        <w:t>Comme le requérant et son épouse ne comparurent pas personnellement devant la cour d</w:t>
      </w:r>
      <w:r w:rsidR="006608FF">
        <w:t>'</w:t>
      </w:r>
      <w:r w:rsidR="00BF3956">
        <w:t>appel, celle-ci reporta l</w:t>
      </w:r>
      <w:r w:rsidR="006608FF">
        <w:t>'</w:t>
      </w:r>
      <w:r w:rsidR="00BF3956">
        <w:t>examen de l</w:t>
      </w:r>
      <w:r w:rsidR="006608FF">
        <w:t>'</w:t>
      </w:r>
      <w:r w:rsidR="00BF3956">
        <w:t>affaire quant au fond afin que les parties comparaissent personnellement pour tenter de régler à l</w:t>
      </w:r>
      <w:r w:rsidR="006608FF">
        <w:t>'</w:t>
      </w:r>
      <w:r w:rsidR="00BF3956">
        <w:t>amiable leur différend, que l</w:t>
      </w:r>
      <w:r w:rsidR="006608FF">
        <w:t>'</w:t>
      </w:r>
      <w:r w:rsidR="00BF3956">
        <w:t xml:space="preserve">enfant </w:t>
      </w:r>
      <w:r w:rsidR="00C64E8E">
        <w:t>(ayant quinze ans environ à l</w:t>
      </w:r>
      <w:r w:rsidR="006608FF">
        <w:t>'</w:t>
      </w:r>
      <w:r w:rsidR="00C64E8E">
        <w:t xml:space="preserve">époque) </w:t>
      </w:r>
      <w:r w:rsidR="00BF3956">
        <w:t xml:space="preserve">comparaisse également pour être entendu, </w:t>
      </w:r>
      <w:r w:rsidR="00511047">
        <w:t>et que le rapport de la Société pour la protection de l</w:t>
      </w:r>
      <w:r w:rsidR="006608FF">
        <w:t>'</w:t>
      </w:r>
      <w:r w:rsidR="00511047">
        <w:t>enfance soit déposé par la partie la plus diligente.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10</w:t>
      </w:r>
      <w:r>
        <w:fldChar w:fldCharType="end"/>
      </w:r>
      <w:r>
        <w:t>.  </w:t>
      </w:r>
      <w:r w:rsidR="00C825B5">
        <w:t>Le 9 juin 2004, le requérant invita la Société pour la protection de l</w:t>
      </w:r>
      <w:r w:rsidR="006608FF">
        <w:t>'</w:t>
      </w:r>
      <w:r w:rsidR="00F61463">
        <w:t>enfance à</w:t>
      </w:r>
      <w:r w:rsidR="00C825B5">
        <w:t xml:space="preserve"> procéder à l</w:t>
      </w:r>
      <w:r w:rsidR="006608FF">
        <w:t>'</w:t>
      </w:r>
      <w:r w:rsidR="00C825B5">
        <w:t>enquête demandée par la cour d</w:t>
      </w:r>
      <w:r w:rsidR="006608FF">
        <w:t>'</w:t>
      </w:r>
      <w:r w:rsidR="00C825B5">
        <w:t>appel.</w:t>
      </w:r>
    </w:p>
    <w:p w:rsidR="00C825B5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11</w:t>
      </w:r>
      <w:r>
        <w:fldChar w:fldCharType="end"/>
      </w:r>
      <w:r>
        <w:t>.  </w:t>
      </w:r>
      <w:r w:rsidR="00C825B5">
        <w:t>Dans ses observations déposées la veille de l</w:t>
      </w:r>
      <w:r w:rsidR="006608FF">
        <w:t>'</w:t>
      </w:r>
      <w:r w:rsidR="00C825B5">
        <w:t>audience devant la cour d</w:t>
      </w:r>
      <w:r w:rsidR="006608FF">
        <w:t>'</w:t>
      </w:r>
      <w:r w:rsidR="00C825B5">
        <w:t xml:space="preserve">appel, le requérant précisait </w:t>
      </w:r>
      <w:r w:rsidR="00F61463">
        <w:t>ce qui suit :</w:t>
      </w:r>
    </w:p>
    <w:p w:rsidR="00F61463" w:rsidRDefault="00F61463" w:rsidP="009D0300">
      <w:pPr>
        <w:pStyle w:val="JuQuot"/>
      </w:pPr>
      <w:r>
        <w:t>« (</w:t>
      </w:r>
      <w:r w:rsidR="00C24014">
        <w:t>...</w:t>
      </w:r>
      <w:r>
        <w:t>) me conformant au dispositif de la décision n</w:t>
      </w:r>
      <w:r w:rsidR="00C24014" w:rsidRPr="00C24014">
        <w:rPr>
          <w:vertAlign w:val="superscript"/>
        </w:rPr>
        <w:t>o</w:t>
      </w:r>
      <w:r>
        <w:t xml:space="preserve"> 1935/2004 de votre cour (</w:t>
      </w:r>
      <w:r w:rsidR="00C24014">
        <w:t>...</w:t>
      </w:r>
      <w:r>
        <w:t>) j</w:t>
      </w:r>
      <w:r w:rsidR="006608FF">
        <w:t>'</w:t>
      </w:r>
      <w:r>
        <w:t>étais le seul à faire diligence (</w:t>
      </w:r>
      <w:r w:rsidR="00C24014">
        <w:t>...</w:t>
      </w:r>
      <w:r>
        <w:t>) par une requête à la Société pour la protection de l</w:t>
      </w:r>
      <w:r w:rsidR="006608FF">
        <w:t>'</w:t>
      </w:r>
      <w:r>
        <w:t>enfance (</w:t>
      </w:r>
      <w:r w:rsidR="00C24014">
        <w:t>...</w:t>
      </w:r>
      <w:r>
        <w:t xml:space="preserve">) pour </w:t>
      </w:r>
      <w:r w:rsidR="009272AC">
        <w:t>la réalisation rapide de l</w:t>
      </w:r>
      <w:r w:rsidR="006608FF">
        <w:t>'</w:t>
      </w:r>
      <w:r w:rsidR="009272AC">
        <w:t>enquête sociale sur les conditions de vie de notre enfant (</w:t>
      </w:r>
      <w:r w:rsidR="00C24014">
        <w:t>...</w:t>
      </w:r>
      <w:r w:rsidR="009272AC">
        <w:t xml:space="preserve">) dont le rapport sera soumis </w:t>
      </w:r>
      <w:r w:rsidR="00926ECD">
        <w:t>à votre cour à l</w:t>
      </w:r>
      <w:r w:rsidR="006608FF">
        <w:t>'</w:t>
      </w:r>
      <w:r w:rsidR="00926ECD">
        <w:t>audience du 25 novembre </w:t>
      </w:r>
      <w:r w:rsidR="009272AC">
        <w:t>2004 (</w:t>
      </w:r>
      <w:r w:rsidR="00C24014">
        <w:t>...</w:t>
      </w:r>
      <w:r w:rsidR="009272AC">
        <w:t>). »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12</w:t>
      </w:r>
      <w:r>
        <w:fldChar w:fldCharType="end"/>
      </w:r>
      <w:r>
        <w:t>.  </w:t>
      </w:r>
      <w:r w:rsidR="009272AC">
        <w:t xml:space="preserve">Le requérant déposa aussi ses éléments de preuve énumérés sur </w:t>
      </w:r>
      <w:r w:rsidR="00926ECD">
        <w:t>onze </w:t>
      </w:r>
      <w:r w:rsidR="009272AC">
        <w:t>pages.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13</w:t>
      </w:r>
      <w:r>
        <w:fldChar w:fldCharType="end"/>
      </w:r>
      <w:r>
        <w:t>.  </w:t>
      </w:r>
      <w:r w:rsidR="009D0300">
        <w:t>A l</w:t>
      </w:r>
      <w:r w:rsidR="006608FF">
        <w:t>'</w:t>
      </w:r>
      <w:r w:rsidR="009D0300">
        <w:t xml:space="preserve">audience du 25 novembre 2004, le requérant et son épouse comparurent personnellement. Ils exclurent toute possibilité de règlement amiable et </w:t>
      </w:r>
      <w:r w:rsidR="005607A8">
        <w:t>déclarèrent qu</w:t>
      </w:r>
      <w:r w:rsidR="006608FF">
        <w:t>'</w:t>
      </w:r>
      <w:r w:rsidR="005607A8">
        <w:t>ils ne souhaitaient pas que leur enfant comparaisse devant la cour d</w:t>
      </w:r>
      <w:r w:rsidR="006608FF">
        <w:t>'</w:t>
      </w:r>
      <w:r w:rsidR="005607A8">
        <w:t xml:space="preserve">appel. </w:t>
      </w:r>
      <w:r w:rsidR="00953841">
        <w:t>Le rapport de la Société pour la protection de l</w:t>
      </w:r>
      <w:r w:rsidR="006608FF">
        <w:t>'</w:t>
      </w:r>
      <w:r w:rsidR="00953841">
        <w:t>enfance fut déposé  au cours de cette audience.</w:t>
      </w:r>
    </w:p>
    <w:p w:rsidR="009272AC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14</w:t>
      </w:r>
      <w:r>
        <w:fldChar w:fldCharType="end"/>
      </w:r>
      <w:r>
        <w:t>.  </w:t>
      </w:r>
      <w:r w:rsidR="009272AC">
        <w:t>A la suite de l</w:t>
      </w:r>
      <w:r w:rsidR="006608FF">
        <w:t>'</w:t>
      </w:r>
      <w:r w:rsidR="009272AC">
        <w:t>audience, le requérant déposa</w:t>
      </w:r>
      <w:r w:rsidR="00926ECD">
        <w:t>, le 30 novembre </w:t>
      </w:r>
      <w:r w:rsidR="005D449E">
        <w:t>2004,</w:t>
      </w:r>
      <w:r w:rsidR="009272AC">
        <w:t xml:space="preserve"> des observations complémentaires réfutant les allégations de son épouse.</w:t>
      </w:r>
    </w:p>
    <w:p w:rsidR="00424A68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15</w:t>
      </w:r>
      <w:r>
        <w:fldChar w:fldCharType="end"/>
      </w:r>
      <w:r>
        <w:t>.  </w:t>
      </w:r>
      <w:r w:rsidR="00424A68">
        <w:t>Par un arrêt du 19 mai 2005, la cour d</w:t>
      </w:r>
      <w:r w:rsidR="006608FF">
        <w:t>'</w:t>
      </w:r>
      <w:r w:rsidR="00424A68">
        <w:t>appel confia, de manière définitive, la garde de l</w:t>
      </w:r>
      <w:r w:rsidR="006608FF">
        <w:t>'</w:t>
      </w:r>
      <w:r w:rsidR="00424A68">
        <w:t>enfant à la mère. La cour d</w:t>
      </w:r>
      <w:r w:rsidR="006608FF">
        <w:t>'</w:t>
      </w:r>
      <w:r w:rsidR="00424A68">
        <w:t>appel releva que l</w:t>
      </w:r>
      <w:r w:rsidR="006608FF">
        <w:t>'</w:t>
      </w:r>
      <w:r w:rsidR="00424A68">
        <w:t>épouse du requérant, en dépit du litige avec celui-ci, et afin de faciliter la communication de l</w:t>
      </w:r>
      <w:r w:rsidR="006608FF">
        <w:t>'</w:t>
      </w:r>
      <w:r w:rsidR="00424A68">
        <w:t>enfant avec son père, avait loué un appartement à proximité de l</w:t>
      </w:r>
      <w:r w:rsidR="006608FF">
        <w:t>'</w:t>
      </w:r>
      <w:r w:rsidR="00424A68">
        <w:t>ancien domicile conjugal. La mère s</w:t>
      </w:r>
      <w:r w:rsidR="006608FF">
        <w:t>'</w:t>
      </w:r>
      <w:r w:rsidR="00424A68">
        <w:t>occupa</w:t>
      </w:r>
      <w:r w:rsidR="00FF002C">
        <w:t>it</w:t>
      </w:r>
      <w:r w:rsidR="00424A68">
        <w:t xml:space="preserve"> per</w:t>
      </w:r>
      <w:r w:rsidR="00926ECD">
        <w:t>sonnellement de son fils, prenan</w:t>
      </w:r>
      <w:r w:rsidR="00424A68">
        <w:t>t soin de lui avec beaucoup d</w:t>
      </w:r>
      <w:r w:rsidR="006608FF">
        <w:t>'</w:t>
      </w:r>
      <w:r w:rsidR="00424A68">
        <w:t>amour et d</w:t>
      </w:r>
      <w:r w:rsidR="006608FF">
        <w:t>'</w:t>
      </w:r>
      <w:r w:rsidR="00424A68">
        <w:t>affection et lui assur</w:t>
      </w:r>
      <w:r w:rsidR="00926ECD">
        <w:t>ant</w:t>
      </w:r>
      <w:r w:rsidR="00424A68">
        <w:t xml:space="preserve"> un environnement calme et de bonnes conditions pour son développement et son éducation. Elle </w:t>
      </w:r>
      <w:r w:rsidR="00FF002C">
        <w:t>permettait</w:t>
      </w:r>
      <w:r w:rsidR="00424A68">
        <w:t xml:space="preserve"> </w:t>
      </w:r>
      <w:r w:rsidR="00926ECD">
        <w:t xml:space="preserve">la </w:t>
      </w:r>
      <w:r w:rsidR="00424A68">
        <w:t>communi</w:t>
      </w:r>
      <w:r w:rsidR="00926ECD">
        <w:t xml:space="preserve">cation </w:t>
      </w:r>
      <w:r w:rsidR="00D265A2">
        <w:t>entre</w:t>
      </w:r>
      <w:r w:rsidR="00926ECD">
        <w:t xml:space="preserve"> l</w:t>
      </w:r>
      <w:r w:rsidR="006608FF">
        <w:t>'</w:t>
      </w:r>
      <w:r w:rsidR="00926ECD">
        <w:t>enfant</w:t>
      </w:r>
      <w:r w:rsidR="00424A68">
        <w:t xml:space="preserve"> </w:t>
      </w:r>
      <w:r w:rsidR="00D265A2">
        <w:t>et</w:t>
      </w:r>
      <w:r w:rsidR="00424A68">
        <w:t xml:space="preserve"> son père et </w:t>
      </w:r>
      <w:r w:rsidR="00D265A2">
        <w:t>organisa</w:t>
      </w:r>
      <w:r w:rsidR="00FF002C">
        <w:t>it</w:t>
      </w:r>
      <w:r w:rsidR="00D265A2">
        <w:t xml:space="preserve"> à volonté des</w:t>
      </w:r>
      <w:r w:rsidR="00424A68">
        <w:t xml:space="preserve"> visite</w:t>
      </w:r>
      <w:r w:rsidR="00D265A2">
        <w:t>s</w:t>
      </w:r>
      <w:r w:rsidR="00424A68">
        <w:t xml:space="preserve"> </w:t>
      </w:r>
      <w:r w:rsidR="00D265A2">
        <w:t>tant au domicile du père qu</w:t>
      </w:r>
      <w:r w:rsidR="006608FF">
        <w:t>'</w:t>
      </w:r>
      <w:r w:rsidR="00D265A2">
        <w:t>à son propre domicile</w:t>
      </w:r>
      <w:r w:rsidR="00424A68">
        <w:t>. Le fait que le requérant avait un diplôme universitaire, contrairement à la mère qui ne possédait que le baccalauréat, ne pouvait constituer un critère décisif pour confier la garde de l</w:t>
      </w:r>
      <w:r w:rsidR="006608FF">
        <w:t>'</w:t>
      </w:r>
      <w:r w:rsidR="00424A68">
        <w:t>enfant</w:t>
      </w:r>
      <w:r w:rsidR="005607A8">
        <w:t xml:space="preserve"> au père</w:t>
      </w:r>
      <w:r w:rsidR="00424A68">
        <w:t xml:space="preserve">. </w:t>
      </w:r>
      <w:r w:rsidR="0042017D">
        <w:t xml:space="preserve">Le père pouvait aider son fils </w:t>
      </w:r>
      <w:r w:rsidR="00D9042B">
        <w:t>lors de l</w:t>
      </w:r>
      <w:r w:rsidR="006608FF">
        <w:t>'</w:t>
      </w:r>
      <w:r w:rsidR="00D9042B">
        <w:t xml:space="preserve">exercice de son droit de visite. </w:t>
      </w:r>
      <w:r w:rsidR="008657D2">
        <w:t>Tout en reconnaissant que le père faisait preuve d</w:t>
      </w:r>
      <w:r w:rsidR="006608FF">
        <w:t>'</w:t>
      </w:r>
      <w:r w:rsidR="008657D2">
        <w:t>une grande affection à l</w:t>
      </w:r>
      <w:r w:rsidR="006608FF">
        <w:t>'</w:t>
      </w:r>
      <w:r w:rsidR="008657D2">
        <w:t>égard de son fils,</w:t>
      </w:r>
      <w:r w:rsidR="00424A68">
        <w:t xml:space="preserve"> la cour d</w:t>
      </w:r>
      <w:r w:rsidR="006608FF">
        <w:t>'</w:t>
      </w:r>
      <w:r w:rsidR="00424A68">
        <w:t>appel estima que l</w:t>
      </w:r>
      <w:r w:rsidR="006608FF">
        <w:t>'</w:t>
      </w:r>
      <w:r w:rsidR="00424A68">
        <w:t>intérêt de l</w:t>
      </w:r>
      <w:r w:rsidR="006608FF">
        <w:t>'</w:t>
      </w:r>
      <w:r w:rsidR="00424A68">
        <w:t>enfant imposait de ne pas l</w:t>
      </w:r>
      <w:r w:rsidR="006608FF">
        <w:t>'</w:t>
      </w:r>
      <w:r w:rsidR="00424A68">
        <w:t>éloigner de sa mère</w:t>
      </w:r>
      <w:r w:rsidR="008657D2">
        <w:t>,</w:t>
      </w:r>
      <w:r w:rsidR="008657D2" w:rsidRPr="008657D2">
        <w:t xml:space="preserve"> </w:t>
      </w:r>
      <w:r w:rsidR="008657D2">
        <w:t>compte tenu notamment du fait que rien de répréhensible ne pouvait être reproché à celle-ci</w:t>
      </w:r>
      <w:r w:rsidR="00424A68">
        <w:t>.</w:t>
      </w:r>
    </w:p>
    <w:p w:rsidR="00424A68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16</w:t>
      </w:r>
      <w:r>
        <w:fldChar w:fldCharType="end"/>
      </w:r>
      <w:r>
        <w:t>.  </w:t>
      </w:r>
      <w:r w:rsidR="00424A68">
        <w:t>Le requérant ne se pourvut pas en cassation contre cet arrêt.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17</w:t>
      </w:r>
      <w:r>
        <w:fldChar w:fldCharType="end"/>
      </w:r>
      <w:r>
        <w:t>.  </w:t>
      </w:r>
      <w:r w:rsidR="00424A68">
        <w:t>A la suite de cet arrêt, le requérant tenta d</w:t>
      </w:r>
      <w:r w:rsidR="006608FF">
        <w:t>'</w:t>
      </w:r>
      <w:r w:rsidR="00424A68">
        <w:t>obtenir une copie du rapport de la Société</w:t>
      </w:r>
      <w:r w:rsidR="00D265A2">
        <w:t xml:space="preserve"> figurant au dossier tenu à la c</w:t>
      </w:r>
      <w:r w:rsidR="00424A68">
        <w:t>our d</w:t>
      </w:r>
      <w:r w:rsidR="006608FF">
        <w:t>'</w:t>
      </w:r>
      <w:r w:rsidR="00424A68">
        <w:t>appel. Toutefois, il s</w:t>
      </w:r>
      <w:r w:rsidR="006608FF">
        <w:t>'</w:t>
      </w:r>
      <w:r w:rsidR="00424A68">
        <w:t>avéra que le dossier ne contenait pas ce document.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18</w:t>
      </w:r>
      <w:r>
        <w:fldChar w:fldCharType="end"/>
      </w:r>
      <w:r>
        <w:t>.  </w:t>
      </w:r>
      <w:r w:rsidR="00424A68">
        <w:t>Le 9 mars 2006, le requérant s</w:t>
      </w:r>
      <w:r w:rsidR="006608FF">
        <w:t>'</w:t>
      </w:r>
      <w:r w:rsidR="00424A68">
        <w:t xml:space="preserve">adressa directement à la Société et lui demanda </w:t>
      </w:r>
      <w:r w:rsidR="00073ABC">
        <w:t xml:space="preserve">la </w:t>
      </w:r>
      <w:r w:rsidR="00424A68">
        <w:t>copie du rapport.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19</w:t>
      </w:r>
      <w:r>
        <w:fldChar w:fldCharType="end"/>
      </w:r>
      <w:r>
        <w:t>.  </w:t>
      </w:r>
      <w:r w:rsidR="00424A68">
        <w:t>Le 5 avril 2006, la Société l</w:t>
      </w:r>
      <w:r w:rsidR="006608FF">
        <w:t>'</w:t>
      </w:r>
      <w:r w:rsidR="00424A68">
        <w:t>informa qu</w:t>
      </w:r>
      <w:r w:rsidR="006608FF">
        <w:t>'</w:t>
      </w:r>
      <w:r w:rsidR="00424A68">
        <w:t>elle ne pouvait pas satisfaire sa demande du fait que le rapport était confidentiel et établi à la seule attention de la cour d</w:t>
      </w:r>
      <w:r w:rsidR="006608FF">
        <w:t>'</w:t>
      </w:r>
      <w:r w:rsidR="00424A68">
        <w:t>appel.</w:t>
      </w:r>
    </w:p>
    <w:p w:rsidR="00890254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20</w:t>
      </w:r>
      <w:r>
        <w:fldChar w:fldCharType="end"/>
      </w:r>
      <w:r>
        <w:t>.  </w:t>
      </w:r>
      <w:r w:rsidR="00424A68">
        <w:t>Le requérant saisit alors le médiateur</w:t>
      </w:r>
      <w:r w:rsidR="00320123">
        <w:t xml:space="preserve"> de la République</w:t>
      </w:r>
      <w:r w:rsidR="00424A68">
        <w:t xml:space="preserve">. </w:t>
      </w:r>
      <w:r w:rsidR="00320123">
        <w:t>C</w:t>
      </w:r>
      <w:r w:rsidR="00A10551">
        <w:t>elui-ci</w:t>
      </w:r>
      <w:r w:rsidR="00320123">
        <w:t>, interprétant les dispositions législatives pertin</w:t>
      </w:r>
      <w:r w:rsidR="00E843A0">
        <w:t>entes et notamment les articles </w:t>
      </w:r>
      <w:r w:rsidR="00320123">
        <w:t>5 de la loi n</w:t>
      </w:r>
      <w:r w:rsidR="00C24014" w:rsidRPr="00C24014">
        <w:rPr>
          <w:vertAlign w:val="superscript"/>
        </w:rPr>
        <w:t>o</w:t>
      </w:r>
      <w:r w:rsidR="00320123">
        <w:t xml:space="preserve"> 3</w:t>
      </w:r>
      <w:r w:rsidR="00E843A0">
        <w:t>78 et 16 du décret présidentiel </w:t>
      </w:r>
      <w:r w:rsidR="00320123">
        <w:t>49/79 (paragraphe</w:t>
      </w:r>
      <w:r w:rsidR="00E843A0">
        <w:t>s </w:t>
      </w:r>
      <w:r w:rsidR="004219E8">
        <w:t>24–25</w:t>
      </w:r>
      <w:r w:rsidR="00E843A0">
        <w:t xml:space="preserve"> ci-</w:t>
      </w:r>
      <w:r w:rsidR="00320123">
        <w:t>dess</w:t>
      </w:r>
      <w:r w:rsidR="004219E8">
        <w:t>o</w:t>
      </w:r>
      <w:r w:rsidR="00320123">
        <w:t>us), informa le requérant</w:t>
      </w:r>
      <w:r w:rsidR="003D5E6E">
        <w:t xml:space="preserve"> que le rapport de la </w:t>
      </w:r>
      <w:r w:rsidR="00424A68">
        <w:t>Société</w:t>
      </w:r>
      <w:r w:rsidR="003D5E6E">
        <w:t xml:space="preserve"> pour la protection de l</w:t>
      </w:r>
      <w:r w:rsidR="006608FF">
        <w:t>'</w:t>
      </w:r>
      <w:r w:rsidR="003D5E6E">
        <w:t>enfance n</w:t>
      </w:r>
      <w:r w:rsidR="006608FF">
        <w:t>'</w:t>
      </w:r>
      <w:r w:rsidR="003D5E6E">
        <w:t>était pas couvert par la con</w:t>
      </w:r>
      <w:r w:rsidR="00320123">
        <w:t>fidentialité que requièrent ces dispositions</w:t>
      </w:r>
      <w:r w:rsidR="003D5E6E">
        <w:t xml:space="preserve"> pour </w:t>
      </w:r>
      <w:r w:rsidR="00A10551">
        <w:t>des rapports similaires établis dans le cadre d</w:t>
      </w:r>
      <w:r w:rsidR="003D5E6E">
        <w:t>es procédures pénales</w:t>
      </w:r>
      <w:r w:rsidR="00A10551">
        <w:t>. Le médiateur l</w:t>
      </w:r>
      <w:r w:rsidR="006608FF">
        <w:t>'</w:t>
      </w:r>
      <w:r w:rsidR="00A10551">
        <w:t>informa également que la Société pour la protection de l</w:t>
      </w:r>
      <w:r w:rsidR="006608FF">
        <w:t>'</w:t>
      </w:r>
      <w:r w:rsidR="00A10551">
        <w:t>enfance se c</w:t>
      </w:r>
      <w:r w:rsidR="00320123">
        <w:t>onsidérait</w:t>
      </w:r>
      <w:r w:rsidR="00A10551">
        <w:t xml:space="preserve"> obligé</w:t>
      </w:r>
      <w:r w:rsidR="00320123">
        <w:t>e</w:t>
      </w:r>
      <w:r w:rsidR="00A10551">
        <w:t xml:space="preserve"> de communiquer son rapport </w:t>
      </w:r>
      <w:r w:rsidR="00E843A0">
        <w:t>uniquement</w:t>
      </w:r>
      <w:r w:rsidR="00A10551">
        <w:t xml:space="preserve"> à l</w:t>
      </w:r>
      <w:r w:rsidR="006608FF">
        <w:t>'</w:t>
      </w:r>
      <w:r w:rsidR="00A10551">
        <w:t xml:space="preserve">autorité qui en </w:t>
      </w:r>
      <w:r w:rsidR="00320123">
        <w:t>avait ordonné l</w:t>
      </w:r>
      <w:r w:rsidR="006608FF">
        <w:t>'</w:t>
      </w:r>
      <w:r w:rsidR="00320123">
        <w:t>établissement et ne pouvait</w:t>
      </w:r>
      <w:r w:rsidR="00A10551">
        <w:t xml:space="preserve"> </w:t>
      </w:r>
      <w:r w:rsidR="00E843A0">
        <w:t>en donner</w:t>
      </w:r>
      <w:r w:rsidR="00A10551">
        <w:t xml:space="preserve"> des copies</w:t>
      </w:r>
      <w:r w:rsidR="00320123">
        <w:t xml:space="preserve"> aux parties </w:t>
      </w:r>
      <w:r w:rsidR="00A10551">
        <w:t>qu</w:t>
      </w:r>
      <w:r w:rsidR="006608FF">
        <w:t>'</w:t>
      </w:r>
      <w:r w:rsidR="00A10551">
        <w:t>avec l</w:t>
      </w:r>
      <w:r w:rsidR="006608FF">
        <w:t>'</w:t>
      </w:r>
      <w:r w:rsidR="00A10551">
        <w:t>accord du procureur</w:t>
      </w:r>
      <w:r w:rsidR="00320123">
        <w:t xml:space="preserve"> près le tribunal correctionnel</w:t>
      </w:r>
      <w:r w:rsidR="00A10551">
        <w:t>. Par conséquent, cette Société ne pouvait pas</w:t>
      </w:r>
      <w:r w:rsidR="00424A68">
        <w:t xml:space="preserve"> communiquer </w:t>
      </w:r>
      <w:r w:rsidR="00A10551">
        <w:t xml:space="preserve">au requérant </w:t>
      </w:r>
      <w:r w:rsidR="00424A68">
        <w:t xml:space="preserve">une copie du rapport, </w:t>
      </w:r>
      <w:r w:rsidR="00A10551">
        <w:t>car celui-ci n</w:t>
      </w:r>
      <w:r w:rsidR="006608FF">
        <w:t>'</w:t>
      </w:r>
      <w:r w:rsidR="00A10551">
        <w:t>av</w:t>
      </w:r>
      <w:r w:rsidR="00424A68">
        <w:t xml:space="preserve">ait </w:t>
      </w:r>
      <w:r w:rsidR="00A10551">
        <w:t xml:space="preserve">pas </w:t>
      </w:r>
      <w:r w:rsidR="00424A68">
        <w:t xml:space="preserve">formulé </w:t>
      </w:r>
      <w:r w:rsidR="00073ABC">
        <w:t>sa</w:t>
      </w:r>
      <w:r w:rsidR="00A10551">
        <w:t xml:space="preserve"> </w:t>
      </w:r>
      <w:r w:rsidR="00424A68">
        <w:t>demande par l</w:t>
      </w:r>
      <w:r w:rsidR="006608FF">
        <w:t>'</w:t>
      </w:r>
      <w:r w:rsidR="00424A68">
        <w:t>intermédiaire du procureur compétent.</w:t>
      </w:r>
    </w:p>
    <w:p w:rsidR="00424A68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21</w:t>
      </w:r>
      <w:r>
        <w:fldChar w:fldCharType="end"/>
      </w:r>
      <w:r>
        <w:t>.  </w:t>
      </w:r>
      <w:r w:rsidR="00424A68">
        <w:t>Le 27 septembre 2007, le requérant invita le procureur près le tribunal correctionnel à appuyer sa demande. Il soulignait que le refus de donner à l</w:t>
      </w:r>
      <w:r w:rsidR="006608FF">
        <w:t>'</w:t>
      </w:r>
      <w:r w:rsidR="00424A68">
        <w:t>une des parties à la procédure ce type de document, dans un délai raisonnable, était contraire à la Convention. Il invoquait l</w:t>
      </w:r>
      <w:r w:rsidR="006608FF">
        <w:t>'</w:t>
      </w:r>
      <w:r w:rsidR="00424A68">
        <w:t>arrêt de la Cour dans l</w:t>
      </w:r>
      <w:r w:rsidR="006608FF">
        <w:t>'</w:t>
      </w:r>
      <w:r w:rsidR="00424A68">
        <w:t xml:space="preserve">affaire </w:t>
      </w:r>
      <w:r w:rsidR="00424A68" w:rsidRPr="00CE0E59">
        <w:rPr>
          <w:i/>
        </w:rPr>
        <w:t>Kosmopoulou c. Grèce</w:t>
      </w:r>
      <w:r w:rsidR="00842126">
        <w:t xml:space="preserve"> (n</w:t>
      </w:r>
      <w:r w:rsidR="00C24014" w:rsidRPr="00C24014">
        <w:rPr>
          <w:vertAlign w:val="superscript"/>
        </w:rPr>
        <w:t>o</w:t>
      </w:r>
      <w:r w:rsidR="00842126">
        <w:t xml:space="preserve"> 60457/00,</w:t>
      </w:r>
      <w:r w:rsidR="00424A68">
        <w:t xml:space="preserve"> 5 février 2004</w:t>
      </w:r>
      <w:r w:rsidR="00842126">
        <w:t>)</w:t>
      </w:r>
      <w:r w:rsidR="00424A68">
        <w:t>.</w:t>
      </w:r>
    </w:p>
    <w:p w:rsidR="009D02AC" w:rsidRPr="007657CE" w:rsidRDefault="00765570" w:rsidP="00424A6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22</w:t>
      </w:r>
      <w:r>
        <w:fldChar w:fldCharType="end"/>
      </w:r>
      <w:r>
        <w:t>.  </w:t>
      </w:r>
      <w:r w:rsidR="00424A68">
        <w:t>Le jour même, le procureur rejeta la demande du requérant en ind</w:t>
      </w:r>
      <w:r w:rsidR="00DB2D00">
        <w:t>iquant que celle-ci concernait l</w:t>
      </w:r>
      <w:r w:rsidR="00424A68">
        <w:t>es données personnelles d</w:t>
      </w:r>
      <w:r w:rsidR="006608FF">
        <w:t>'</w:t>
      </w:r>
      <w:r w:rsidR="00424A68">
        <w:t xml:space="preserve">un mineur et </w:t>
      </w:r>
      <w:r w:rsidR="00DB2D00">
        <w:t>que le requérant n</w:t>
      </w:r>
      <w:r w:rsidR="006608FF">
        <w:t>'</w:t>
      </w:r>
      <w:r w:rsidR="00DB2D00">
        <w:t xml:space="preserve">avait pas un </w:t>
      </w:r>
      <w:r w:rsidR="00424A68">
        <w:t>intérêt légitime à prendre connaissance de telles informations.</w:t>
      </w:r>
      <w:r w:rsidR="007D79CE">
        <w:t xml:space="preserve"> Les motifs du rejet se limitai</w:t>
      </w:r>
      <w:r w:rsidR="008E7016">
        <w:t>ent</w:t>
      </w:r>
      <w:r w:rsidR="00DB2D00">
        <w:t xml:space="preserve"> à ces deux </w:t>
      </w:r>
      <w:r w:rsidR="007D79CE">
        <w:t>phrase</w:t>
      </w:r>
      <w:r w:rsidR="008E7016">
        <w:t>s</w:t>
      </w:r>
      <w:r w:rsidR="007D79CE">
        <w:t xml:space="preserve"> manuscrites sur le texte même de la demande.</w:t>
      </w:r>
    </w:p>
    <w:p w:rsidR="009D02AC" w:rsidRPr="007657CE" w:rsidRDefault="00D9042B">
      <w:pPr>
        <w:pStyle w:val="JuHIRoman"/>
      </w:pPr>
      <w:r>
        <w:t xml:space="preserve">II.  LE DROIT </w:t>
      </w:r>
      <w:r w:rsidR="00BF5687">
        <w:t xml:space="preserve">ET LA PRATIQUE </w:t>
      </w:r>
      <w:r>
        <w:t>INTERNE</w:t>
      </w:r>
      <w:r w:rsidR="00BF5687">
        <w:t>S</w:t>
      </w:r>
      <w:r>
        <w:t xml:space="preserve"> PERTINENT</w:t>
      </w:r>
      <w:r w:rsidR="00BF5687">
        <w:t>S</w:t>
      </w:r>
    </w:p>
    <w:p w:rsidR="009D02AC" w:rsidRDefault="007657CE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23</w:t>
      </w:r>
      <w:r w:rsidRPr="007657CE">
        <w:fldChar w:fldCharType="end"/>
      </w:r>
      <w:r w:rsidR="009D02AC" w:rsidRPr="007657CE">
        <w:t>.  </w:t>
      </w:r>
      <w:r w:rsidR="00073ABC">
        <w:t>Les articles pertinents du</w:t>
      </w:r>
      <w:r w:rsidR="00D9042B">
        <w:t xml:space="preserve"> code de procédure civile disposent :</w:t>
      </w:r>
    </w:p>
    <w:p w:rsidR="00D9042B" w:rsidRDefault="00D9042B" w:rsidP="00EB7FB3">
      <w:pPr>
        <w:pStyle w:val="JuQuot"/>
        <w:jc w:val="center"/>
      </w:pPr>
      <w:r>
        <w:t>Article 450 § 1</w:t>
      </w:r>
    </w:p>
    <w:p w:rsidR="00E5203B" w:rsidRDefault="00D9042B" w:rsidP="00EB7FB3">
      <w:pPr>
        <w:pStyle w:val="JuQuot"/>
      </w:pPr>
      <w:r>
        <w:t>« Chaque partie doit déposer les documents qu</w:t>
      </w:r>
      <w:r w:rsidR="006608FF">
        <w:t>'</w:t>
      </w:r>
      <w:r>
        <w:t xml:space="preserve">elle a utilisés ou invoqués </w:t>
      </w:r>
      <w:r w:rsidR="00E5203B">
        <w:t>aux débats.</w:t>
      </w:r>
      <w:r w:rsidR="000578E7">
        <w:t> »</w:t>
      </w:r>
    </w:p>
    <w:p w:rsidR="00D9042B" w:rsidRDefault="00E5203B" w:rsidP="00EB7FB3">
      <w:pPr>
        <w:pStyle w:val="JuQuot"/>
        <w:jc w:val="center"/>
      </w:pPr>
      <w:r>
        <w:t>Article 451</w:t>
      </w:r>
    </w:p>
    <w:p w:rsidR="000578E7" w:rsidRDefault="000578E7" w:rsidP="00EB7FB3">
      <w:pPr>
        <w:pStyle w:val="JuQuot"/>
      </w:pPr>
      <w:r>
        <w:t>« </w:t>
      </w:r>
      <w:r w:rsidR="00E450DC">
        <w:t>Le dépôt de ces documents peut être demandé par une action incidente, si l</w:t>
      </w:r>
      <w:r w:rsidR="006608FF">
        <w:t>'</w:t>
      </w:r>
      <w:r w:rsidR="00E450DC">
        <w:t>obligation de déposer incombe à un tiers, ou dans les observations des parties à la procédure, si l</w:t>
      </w:r>
      <w:r w:rsidR="006608FF">
        <w:t>'</w:t>
      </w:r>
      <w:r w:rsidR="00E450DC">
        <w:t>obligation incombe à l</w:t>
      </w:r>
      <w:r w:rsidR="006608FF">
        <w:t>'</w:t>
      </w:r>
      <w:r w:rsidR="00E450DC">
        <w:t>une d</w:t>
      </w:r>
      <w:r w:rsidR="006608FF">
        <w:t>'</w:t>
      </w:r>
      <w:r w:rsidR="00E450DC">
        <w:t>elle</w:t>
      </w:r>
      <w:r w:rsidR="00DB2D00">
        <w:t>s</w:t>
      </w:r>
      <w:r w:rsidR="00E450DC">
        <w:t xml:space="preserve"> (</w:t>
      </w:r>
      <w:r w:rsidR="00C24014">
        <w:t>...</w:t>
      </w:r>
      <w:r w:rsidR="00E450DC">
        <w:t>). »</w:t>
      </w:r>
    </w:p>
    <w:p w:rsidR="00E450DC" w:rsidRDefault="00EB7FB3" w:rsidP="00EB7FB3">
      <w:pPr>
        <w:pStyle w:val="JuQuot"/>
        <w:jc w:val="center"/>
      </w:pPr>
      <w:r>
        <w:t>Article 452 § 3</w:t>
      </w:r>
    </w:p>
    <w:p w:rsidR="00E450DC" w:rsidRDefault="00E450DC" w:rsidP="00EB7FB3">
      <w:pPr>
        <w:pStyle w:val="JuQuot"/>
      </w:pPr>
      <w:r>
        <w:t>« </w:t>
      </w:r>
      <w:r w:rsidR="00EB7FB3">
        <w:t>Les articles 450 et 451 s</w:t>
      </w:r>
      <w:r w:rsidR="006608FF">
        <w:t>'</w:t>
      </w:r>
      <w:r w:rsidR="00EB7FB3">
        <w:t>appliquent même lorsque le document est entre les mains d</w:t>
      </w:r>
      <w:r w:rsidR="006608FF">
        <w:t>'</w:t>
      </w:r>
      <w:r w:rsidR="00EB7FB3">
        <w:t>une autorité publique (</w:t>
      </w:r>
      <w:r w:rsidR="00C24014">
        <w:t>...</w:t>
      </w:r>
      <w:r w:rsidR="00EB7FB3">
        <w:t>), sauf s</w:t>
      </w:r>
      <w:r w:rsidR="006608FF">
        <w:t>'</w:t>
      </w:r>
      <w:r w:rsidR="00EB7FB3">
        <w:t>il s</w:t>
      </w:r>
      <w:r w:rsidR="006608FF">
        <w:t>'</w:t>
      </w:r>
      <w:r w:rsidR="00EB7FB3">
        <w:t>agit d</w:t>
      </w:r>
      <w:r w:rsidR="006608FF">
        <w:t>'</w:t>
      </w:r>
      <w:r w:rsidR="00EB7FB3">
        <w:t>un document confidentiel concernant la sécurité et les relations internationales de l</w:t>
      </w:r>
      <w:r w:rsidR="006608FF">
        <w:t>'</w:t>
      </w:r>
      <w:r w:rsidR="00EB7FB3">
        <w:t>Etat. »</w:t>
      </w:r>
    </w:p>
    <w:p w:rsidR="009151EB" w:rsidRDefault="00765570" w:rsidP="00EB7FB3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24</w:t>
      </w:r>
      <w:r>
        <w:fldChar w:fldCharType="end"/>
      </w:r>
      <w:r>
        <w:t>.  </w:t>
      </w:r>
      <w:r w:rsidR="009151EB">
        <w:t>L</w:t>
      </w:r>
      <w:r w:rsidR="006608FF">
        <w:t>'</w:t>
      </w:r>
      <w:r w:rsidR="009151EB">
        <w:t>article 5 de la loi n</w:t>
      </w:r>
      <w:r w:rsidR="00C24014" w:rsidRPr="00C24014">
        <w:rPr>
          <w:vertAlign w:val="superscript"/>
        </w:rPr>
        <w:t>o</w:t>
      </w:r>
      <w:r w:rsidR="009151EB">
        <w:t xml:space="preserve"> 378 du 8 juillet 1</w:t>
      </w:r>
      <w:r w:rsidR="00C05C7F">
        <w:t>976, créant le</w:t>
      </w:r>
      <w:r w:rsidR="009151EB">
        <w:t xml:space="preserve"> </w:t>
      </w:r>
      <w:r w:rsidR="00C05C7F">
        <w:t xml:space="preserve">service </w:t>
      </w:r>
      <w:r w:rsidR="009151EB">
        <w:t>des surveillants de mineurs auprès de</w:t>
      </w:r>
      <w:r w:rsidR="00DB2D00">
        <w:t>s</w:t>
      </w:r>
      <w:r w:rsidR="009151EB">
        <w:t xml:space="preserve"> tribunaux d</w:t>
      </w:r>
      <w:r w:rsidR="006608FF">
        <w:t>'</w:t>
      </w:r>
      <w:r w:rsidR="009151EB">
        <w:t>enfants</w:t>
      </w:r>
      <w:r w:rsidR="00C05C7F">
        <w:t>,</w:t>
      </w:r>
      <w:r w:rsidR="009151EB">
        <w:t xml:space="preserve"> dispose :</w:t>
      </w:r>
    </w:p>
    <w:p w:rsidR="009151EB" w:rsidRDefault="009151EB" w:rsidP="009151EB">
      <w:pPr>
        <w:pStyle w:val="JuQuot"/>
      </w:pPr>
      <w:r>
        <w:t>« Les rapports des surveillants de mineurs et tout autre élément dont ils ont eu connaissance pendant l</w:t>
      </w:r>
      <w:r w:rsidR="006608FF">
        <w:t>'</w:t>
      </w:r>
      <w:r>
        <w:t>exercice de leurs fonctions, sont confidentiels et ne sont rapportés qu</w:t>
      </w:r>
      <w:r w:rsidR="006608FF">
        <w:t>'</w:t>
      </w:r>
      <w:r>
        <w:t xml:space="preserve">au juge pour enfant et </w:t>
      </w:r>
      <w:r w:rsidR="00DB2D00">
        <w:t xml:space="preserve">à </w:t>
      </w:r>
      <w:r>
        <w:t>ceux qui sont chargés de l</w:t>
      </w:r>
      <w:r w:rsidR="006608FF">
        <w:t>'</w:t>
      </w:r>
      <w:r>
        <w:t>autorité parentale (</w:t>
      </w:r>
      <w:r w:rsidR="00C24014">
        <w:t>...</w:t>
      </w:r>
      <w:r>
        <w:t>). »</w:t>
      </w:r>
    </w:p>
    <w:p w:rsidR="009151EB" w:rsidRDefault="00765570" w:rsidP="00EB7FB3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25</w:t>
      </w:r>
      <w:r>
        <w:fldChar w:fldCharType="end"/>
      </w:r>
      <w:r>
        <w:t>.  </w:t>
      </w:r>
      <w:r w:rsidR="009151EB">
        <w:t>L</w:t>
      </w:r>
      <w:r w:rsidR="0057069D">
        <w:t>es articles pertinents du déc</w:t>
      </w:r>
      <w:r w:rsidR="00DB2D00">
        <w:t>ret présidentiel n</w:t>
      </w:r>
      <w:r w:rsidR="00C24014" w:rsidRPr="00C24014">
        <w:rPr>
          <w:vertAlign w:val="superscript"/>
        </w:rPr>
        <w:t>o</w:t>
      </w:r>
      <w:r w:rsidR="00DB2D00">
        <w:t xml:space="preserve"> 49/79 du 24 janvier </w:t>
      </w:r>
      <w:r w:rsidR="0057069D">
        <w:t>1979, relatif au fonctionnement du service des surveillants de mineurs, sont ainsi libellés :</w:t>
      </w:r>
    </w:p>
    <w:p w:rsidR="0057069D" w:rsidRDefault="0057069D" w:rsidP="00C05C7F">
      <w:pPr>
        <w:pStyle w:val="JuQuot"/>
        <w:jc w:val="center"/>
      </w:pPr>
      <w:r>
        <w:t>Article 8</w:t>
      </w:r>
      <w:r w:rsidR="004B1527">
        <w:t xml:space="preserve"> – enquêtes sociales</w:t>
      </w:r>
    </w:p>
    <w:p w:rsidR="0057069D" w:rsidRDefault="0057069D" w:rsidP="00C05C7F">
      <w:pPr>
        <w:pStyle w:val="JuQuot"/>
      </w:pPr>
      <w:r>
        <w:t xml:space="preserve">« Les surveillants de mineurs réalisent, sur invitation du juge pour enfants, du procureur ou du ministre de la </w:t>
      </w:r>
      <w:r w:rsidR="004B1527">
        <w:t>J</w:t>
      </w:r>
      <w:r>
        <w:t>ustice, des enquêtes sociales</w:t>
      </w:r>
      <w:r w:rsidR="004B1527">
        <w:t xml:space="preserve"> concernant les mineurs contre lesquels une procédure pénale est pendante (</w:t>
      </w:r>
      <w:r w:rsidR="00C24014">
        <w:t>...</w:t>
      </w:r>
      <w:r w:rsidR="004B1527">
        <w:t>). L</w:t>
      </w:r>
      <w:r w:rsidR="006608FF">
        <w:t>'</w:t>
      </w:r>
      <w:r w:rsidR="004B1527">
        <w:t>enquête sociale consiste en la collecte d</w:t>
      </w:r>
      <w:r w:rsidR="006608FF">
        <w:t>'</w:t>
      </w:r>
      <w:r w:rsidR="004B1527">
        <w:t>éléments sur les conditions de vie de mineurs, de leur comportement et de leur personnalité (</w:t>
      </w:r>
      <w:r w:rsidR="00C24014">
        <w:t>...</w:t>
      </w:r>
      <w:r w:rsidR="004B1527">
        <w:t>). »</w:t>
      </w:r>
    </w:p>
    <w:p w:rsidR="004B1527" w:rsidRDefault="004B1527" w:rsidP="00C05C7F">
      <w:pPr>
        <w:pStyle w:val="JuQuot"/>
        <w:jc w:val="center"/>
      </w:pPr>
      <w:r>
        <w:t>Article 16 – r</w:t>
      </w:r>
      <w:r w:rsidR="00C05C7F">
        <w:t>esponsabilité disciplinaire</w:t>
      </w:r>
      <w:r>
        <w:t xml:space="preserve"> des surveillants</w:t>
      </w:r>
    </w:p>
    <w:p w:rsidR="004B1527" w:rsidRPr="007657CE" w:rsidRDefault="004B1527" w:rsidP="00C05C7F">
      <w:pPr>
        <w:pStyle w:val="JuQuot"/>
      </w:pPr>
      <w:r>
        <w:t>« (</w:t>
      </w:r>
      <w:r w:rsidR="00C24014">
        <w:t>...</w:t>
      </w:r>
      <w:r>
        <w:t>) Le non-respect par le surveillant du caractère confidentiel du rapport et l</w:t>
      </w:r>
      <w:r w:rsidR="00C05C7F">
        <w:t>e manque du comportement requis (</w:t>
      </w:r>
      <w:r w:rsidR="00C24014">
        <w:t>...</w:t>
      </w:r>
      <w:r w:rsidR="00C05C7F">
        <w:t>) lors de l</w:t>
      </w:r>
      <w:r w:rsidR="006608FF">
        <w:t>'</w:t>
      </w:r>
      <w:r w:rsidR="00C05C7F">
        <w:t>exécution de leurs fonctions, constituent des infractions disciplinaires. (</w:t>
      </w:r>
      <w:r w:rsidR="00C24014">
        <w:t>...</w:t>
      </w:r>
      <w:r w:rsidR="00C05C7F">
        <w:t>) »</w:t>
      </w:r>
    </w:p>
    <w:p w:rsidR="009D02AC" w:rsidRPr="007657CE" w:rsidRDefault="009D02AC">
      <w:pPr>
        <w:pStyle w:val="JuHHead"/>
      </w:pPr>
      <w:r w:rsidRPr="007657CE">
        <w:t>EN DROIT</w:t>
      </w:r>
    </w:p>
    <w:p w:rsidR="007754E0" w:rsidRPr="007657CE" w:rsidRDefault="007754E0" w:rsidP="007754E0">
      <w:pPr>
        <w:pStyle w:val="JuHIRoman"/>
      </w:pPr>
      <w:r>
        <w:t>I</w:t>
      </w:r>
      <w:r w:rsidRPr="007657CE">
        <w:t>.  SUR LA VIOLATION ALLÉGUÉE DE L</w:t>
      </w:r>
      <w:r w:rsidR="006608FF">
        <w:t>'</w:t>
      </w:r>
      <w:r w:rsidRPr="007657CE">
        <w:t xml:space="preserve">ARTICLE </w:t>
      </w:r>
      <w:r>
        <w:t>6</w:t>
      </w:r>
      <w:r w:rsidRPr="007657CE">
        <w:t xml:space="preserve"> DE LA CONVENTION</w:t>
      </w:r>
    </w:p>
    <w:p w:rsidR="007754E0" w:rsidRDefault="007754E0" w:rsidP="007754E0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26</w:t>
      </w:r>
      <w:r w:rsidRPr="007657CE">
        <w:fldChar w:fldCharType="end"/>
      </w:r>
      <w:r w:rsidRPr="007657CE">
        <w:t>.  </w:t>
      </w:r>
      <w:r>
        <w:t>Le requérant allègue que l</w:t>
      </w:r>
      <w:r w:rsidR="006608FF">
        <w:t>'</w:t>
      </w:r>
      <w:r>
        <w:t>impossibilité de prendre connaissance du rapport de la Société pour la protection de l</w:t>
      </w:r>
      <w:r w:rsidR="006608FF">
        <w:t>'</w:t>
      </w:r>
      <w:r>
        <w:t>enfance a entraîné une violation de son droit à un procès équitable. Il invoque l</w:t>
      </w:r>
      <w:r w:rsidR="006608FF">
        <w:t>'</w:t>
      </w:r>
      <w:r>
        <w:t>article 6 de la Convention, dont la partie pertinente dispose :</w:t>
      </w:r>
    </w:p>
    <w:p w:rsidR="007754E0" w:rsidRDefault="007754E0" w:rsidP="007754E0">
      <w:pPr>
        <w:pStyle w:val="JuQuot"/>
      </w:pPr>
      <w:r>
        <w:t>« Toute personne a droit à ce que sa cause soit entendue équitablement (...) par un tribunal (...), qui décidera (...) des con</w:t>
      </w:r>
      <w:smartTag w:uri="urn:schemas-microsoft-com:office:smarttags" w:element="PersonName">
        <w:r>
          <w:t>test</w:t>
        </w:r>
      </w:smartTag>
      <w:r>
        <w:t>ations sur ses droits et obligations de caractère civil (...) »</w:t>
      </w:r>
    </w:p>
    <w:p w:rsidR="00890254" w:rsidRDefault="00BB0A88" w:rsidP="00BB0A88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27</w:t>
      </w:r>
      <w:r w:rsidRPr="007657CE">
        <w:fldChar w:fldCharType="end"/>
      </w:r>
      <w:r w:rsidRPr="007657CE">
        <w:t>.  </w:t>
      </w:r>
      <w:r>
        <w:t>A titre principal, le Gouvernement excipe du non-épuisement des voies de recours internes. D</w:t>
      </w:r>
      <w:r w:rsidR="006608FF">
        <w:t>'</w:t>
      </w:r>
      <w:r>
        <w:t>une part, le requérant aurait pu demander à la cour d</w:t>
      </w:r>
      <w:r w:rsidR="006608FF">
        <w:t>'</w:t>
      </w:r>
      <w:r>
        <w:t>appel, dans ses observation</w:t>
      </w:r>
      <w:r w:rsidR="00DD47FE">
        <w:t>s</w:t>
      </w:r>
      <w:r>
        <w:t xml:space="preserve"> et conformément aux articles 450 à 452 du code de procédure civile, de prendre connaissance du rapport de la Société pour la protection de l</w:t>
      </w:r>
      <w:r w:rsidR="006608FF">
        <w:t>'</w:t>
      </w:r>
      <w:r>
        <w:t>enfance. D</w:t>
      </w:r>
      <w:r w:rsidR="006608FF">
        <w:t>'</w:t>
      </w:r>
      <w:r>
        <w:t>autre part, si le requérant avait estimé que ce rapport avait joué un rôle fondamental dans la décision le privant de la garde de l</w:t>
      </w:r>
      <w:r w:rsidR="006608FF">
        <w:t>'</w:t>
      </w:r>
      <w:r>
        <w:t>enfant, il aurait pu se pourvoir en cassation au motif qu</w:t>
      </w:r>
      <w:r w:rsidR="006608FF">
        <w:t>'</w:t>
      </w:r>
      <w:r>
        <w:t>il n</w:t>
      </w:r>
      <w:r w:rsidR="006608FF">
        <w:t>'</w:t>
      </w:r>
      <w:r>
        <w:t>avait pu prendre connaissance et commenter un élément de preuve capital.</w:t>
      </w:r>
    </w:p>
    <w:p w:rsidR="00890254" w:rsidRDefault="00BB0A88" w:rsidP="00BB0A8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28</w:t>
      </w:r>
      <w:r>
        <w:fldChar w:fldCharType="end"/>
      </w:r>
      <w:r>
        <w:t>.  Le requérant soutient qu</w:t>
      </w:r>
      <w:r w:rsidR="006608FF">
        <w:t>'</w:t>
      </w:r>
      <w:r>
        <w:t>un pourvoi en cassation n</w:t>
      </w:r>
      <w:r w:rsidR="006608FF">
        <w:t>'</w:t>
      </w:r>
      <w:r>
        <w:t>aurait pas constitué un recours efficace, car il aurait fallu compter trois ans de procédure devant la Cour de cassation, plus un an de procédure devant la cour d</w:t>
      </w:r>
      <w:r w:rsidR="006608FF">
        <w:t>'</w:t>
      </w:r>
      <w:r>
        <w:t>appel en cas d</w:t>
      </w:r>
      <w:r w:rsidR="006608FF">
        <w:t>'</w:t>
      </w:r>
      <w:r>
        <w:t>issue favorable au requérant. L</w:t>
      </w:r>
      <w:r w:rsidR="006608FF">
        <w:t>'</w:t>
      </w:r>
      <w:r>
        <w:t>affaire aurait par ailleurs été renvoyée devant la cour d</w:t>
      </w:r>
      <w:r w:rsidR="006608FF">
        <w:t>'</w:t>
      </w:r>
      <w:r>
        <w:t>appel. Il souligne que même s</w:t>
      </w:r>
      <w:r w:rsidR="006608FF">
        <w:t>'</w:t>
      </w:r>
      <w:r>
        <w:t>il avait introduit un pourvoi en cassation, son examen n</w:t>
      </w:r>
      <w:r w:rsidR="006608FF">
        <w:t>'</w:t>
      </w:r>
      <w:r>
        <w:t>aurait pas été fait équitablement compte tenu du fait qu</w:t>
      </w:r>
      <w:r w:rsidR="006608FF">
        <w:t>'</w:t>
      </w:r>
      <w:r>
        <w:t>il n</w:t>
      </w:r>
      <w:r w:rsidR="006608FF">
        <w:t>'</w:t>
      </w:r>
      <w:r>
        <w:t>avait toujours pas eu accès au rapport.</w:t>
      </w:r>
    </w:p>
    <w:p w:rsidR="007754E0" w:rsidRDefault="00D71051" w:rsidP="00D71051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29</w:t>
      </w:r>
      <w:r>
        <w:fldChar w:fldCharType="end"/>
      </w:r>
      <w:r>
        <w:t>.  Dans son arrêt du 16 septembre 1996 en l</w:t>
      </w:r>
      <w:r w:rsidR="006608FF">
        <w:t>'</w:t>
      </w:r>
      <w:r>
        <w:t xml:space="preserve">affaire </w:t>
      </w:r>
      <w:r w:rsidR="00DD47FE">
        <w:rPr>
          <w:i/>
        </w:rPr>
        <w:t>Akdivar et autres c. </w:t>
      </w:r>
      <w:r w:rsidRPr="00D71051">
        <w:rPr>
          <w:i/>
        </w:rPr>
        <w:t xml:space="preserve">Turquie </w:t>
      </w:r>
      <w:r>
        <w:t>(</w:t>
      </w:r>
      <w:r w:rsidRPr="00D71051">
        <w:rPr>
          <w:i/>
        </w:rPr>
        <w:t>Recueil des arrêts et décisions</w:t>
      </w:r>
      <w:r>
        <w:t xml:space="preserve"> 1996-IV), la Cour a souligné qu</w:t>
      </w:r>
      <w:r w:rsidR="006608FF">
        <w:t>'</w:t>
      </w:r>
      <w:r>
        <w:t>elle doit appliquer la règle de l</w:t>
      </w:r>
      <w:r w:rsidR="006608FF">
        <w:t>'</w:t>
      </w:r>
      <w:r>
        <w:t>épuisement des voies de recours internes en tenant dûment compte du contexte: le mécanisme de sauvegarde des droits de l</w:t>
      </w:r>
      <w:r w:rsidR="006608FF">
        <w:t>'</w:t>
      </w:r>
      <w:r>
        <w:t>homme que les Parties contractantes sont convenues d</w:t>
      </w:r>
      <w:r w:rsidR="006608FF">
        <w:t>'</w:t>
      </w:r>
      <w:r>
        <w:t>instaurer.</w:t>
      </w:r>
      <w:r w:rsidR="00890254">
        <w:t xml:space="preserve"> </w:t>
      </w:r>
      <w:r>
        <w:t>Elle a ainsi reconnu que cette règle doit s</w:t>
      </w:r>
      <w:r w:rsidR="006608FF">
        <w:t>'</w:t>
      </w:r>
      <w:r>
        <w:t>appliquer avec une certaine souplesse et sans formalisme excessif et qu</w:t>
      </w:r>
      <w:r w:rsidR="006608FF">
        <w:t>'</w:t>
      </w:r>
      <w:r>
        <w:t>elle n</w:t>
      </w:r>
      <w:r w:rsidR="006608FF">
        <w:t>'</w:t>
      </w:r>
      <w:r>
        <w:t>exige pas seulement la saisine des juridictions nationales compétentes et l</w:t>
      </w:r>
      <w:r w:rsidR="006608FF">
        <w:t>'</w:t>
      </w:r>
      <w:r>
        <w:t>exercice de recours destinés à combattre une décision déjà rendue: elle oblige aussi, en principe, à soulever devant ces mêmes juridictions, au moins en substance et dans les formes et délais prescrits par le droit interne, les griefs que l</w:t>
      </w:r>
      <w:r w:rsidR="006608FF">
        <w:t>'</w:t>
      </w:r>
      <w:r>
        <w:t>on entend formuler par la suite à Strasbourg.</w:t>
      </w:r>
    </w:p>
    <w:p w:rsidR="00D32B97" w:rsidRPr="007657CE" w:rsidRDefault="00F62233" w:rsidP="00D32B9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30</w:t>
      </w:r>
      <w:r>
        <w:fldChar w:fldCharType="end"/>
      </w:r>
      <w:r>
        <w:t>.  </w:t>
      </w:r>
      <w:r w:rsidR="004E7ED9">
        <w:t>La C</w:t>
      </w:r>
      <w:r w:rsidR="00D32B97">
        <w:t>our note qu</w:t>
      </w:r>
      <w:r w:rsidR="006608FF">
        <w:t>'</w:t>
      </w:r>
      <w:r w:rsidR="00D32B97">
        <w:t>en l</w:t>
      </w:r>
      <w:r w:rsidR="006608FF">
        <w:t>'</w:t>
      </w:r>
      <w:r w:rsidR="00D32B97">
        <w:t>espèce, le requérant ne s</w:t>
      </w:r>
      <w:r w:rsidR="006608FF">
        <w:t>'</w:t>
      </w:r>
      <w:r w:rsidR="00D32B97">
        <w:t>est plaint</w:t>
      </w:r>
      <w:r w:rsidR="004E7ED9">
        <w:t>,</w:t>
      </w:r>
      <w:r w:rsidR="00D32B97">
        <w:t xml:space="preserve"> ni dans ses observations initiales, ni dans ses observations complémentaires</w:t>
      </w:r>
      <w:r w:rsidR="00AB7963" w:rsidRPr="00AB7963">
        <w:t xml:space="preserve"> </w:t>
      </w:r>
      <w:r w:rsidR="00AB7963">
        <w:t>devant la cour d</w:t>
      </w:r>
      <w:r w:rsidR="006608FF">
        <w:t>'</w:t>
      </w:r>
      <w:r w:rsidR="00AB7963">
        <w:t>appel</w:t>
      </w:r>
      <w:r w:rsidR="00D32B97">
        <w:t>, qu</w:t>
      </w:r>
      <w:r w:rsidR="006608FF">
        <w:t>'</w:t>
      </w:r>
      <w:r w:rsidR="00D32B97">
        <w:t>il n</w:t>
      </w:r>
      <w:r w:rsidR="006608FF">
        <w:t>'</w:t>
      </w:r>
      <w:r w:rsidR="00D32B97">
        <w:t xml:space="preserve">avait pas eu accès au rapport de la Société pour </w:t>
      </w:r>
      <w:r w:rsidR="00DD47FE">
        <w:t>la protection de l</w:t>
      </w:r>
      <w:r w:rsidR="006608FF">
        <w:t>'</w:t>
      </w:r>
      <w:r w:rsidR="00DD47FE">
        <w:t>enfance ou que ce</w:t>
      </w:r>
      <w:r w:rsidR="00D32B97">
        <w:t xml:space="preserve"> manque d</w:t>
      </w:r>
      <w:r w:rsidR="006608FF">
        <w:t>'</w:t>
      </w:r>
      <w:r w:rsidR="00D32B97">
        <w:t xml:space="preserve">accès </w:t>
      </w:r>
      <w:r w:rsidR="00DD47FE">
        <w:t>avait porté atteinte à l</w:t>
      </w:r>
      <w:r w:rsidR="006608FF">
        <w:t>'</w:t>
      </w:r>
      <w:r w:rsidR="00DD47FE">
        <w:t>un de s</w:t>
      </w:r>
      <w:r w:rsidR="00D32B97">
        <w:t xml:space="preserve">es droits procéduraux. </w:t>
      </w:r>
      <w:r w:rsidR="004E7ED9">
        <w:t>Il n</w:t>
      </w:r>
      <w:r w:rsidR="006608FF">
        <w:t>'</w:t>
      </w:r>
      <w:r w:rsidR="004E7ED9">
        <w:t>a pas non plus saisi la Cour de cassation pour se plaindre d</w:t>
      </w:r>
      <w:r w:rsidR="006608FF">
        <w:t>'</w:t>
      </w:r>
      <w:r w:rsidR="004E7ED9">
        <w:t xml:space="preserve">une atteinte à son droit à un procès équitable. </w:t>
      </w:r>
      <w:r w:rsidR="00AB7963">
        <w:t>L</w:t>
      </w:r>
      <w:r w:rsidR="00AB7963" w:rsidRPr="00CF2179">
        <w:t>e requérant n</w:t>
      </w:r>
      <w:r w:rsidR="006608FF">
        <w:t>'</w:t>
      </w:r>
      <w:r w:rsidR="00AB7963" w:rsidRPr="00CF2179">
        <w:t xml:space="preserve">a pas donné aux juridictions </w:t>
      </w:r>
      <w:r w:rsidR="00AB7963">
        <w:t xml:space="preserve">grecques </w:t>
      </w:r>
      <w:r w:rsidR="00AB7963" w:rsidRPr="00CF2179">
        <w:t>l</w:t>
      </w:r>
      <w:r w:rsidR="006608FF">
        <w:t>'</w:t>
      </w:r>
      <w:r w:rsidR="00AB7963" w:rsidRPr="00CF2179">
        <w:t>occasion que l</w:t>
      </w:r>
      <w:r w:rsidR="006608FF">
        <w:t>'</w:t>
      </w:r>
      <w:r w:rsidR="00AB7963" w:rsidRPr="00CF2179">
        <w:t>article 35 de la Convention a pour finalité de ménager en principe à un Etat contractant : celle d</w:t>
      </w:r>
      <w:r w:rsidR="006608FF">
        <w:t>'</w:t>
      </w:r>
      <w:r w:rsidR="00AB7963" w:rsidRPr="00CF2179">
        <w:t>examiner, c</w:t>
      </w:r>
      <w:r w:rsidR="006608FF">
        <w:t>'</w:t>
      </w:r>
      <w:r w:rsidR="00AB7963" w:rsidRPr="00CF2179">
        <w:t xml:space="preserve">est-à-dire de prévenir ou redresser la violation au regard de la Convention qui est alléguée contre cet Etat </w:t>
      </w:r>
      <w:r w:rsidR="00314427">
        <w:t>(voir, entre autres, les arrêts </w:t>
      </w:r>
      <w:r w:rsidR="00AB7963" w:rsidRPr="00CF2179">
        <w:rPr>
          <w:i/>
        </w:rPr>
        <w:t>Guzzardi c. Italie</w:t>
      </w:r>
      <w:r w:rsidR="00AB7963" w:rsidRPr="00CF2179">
        <w:t xml:space="preserve"> du 6 novembre 1980, série A n</w:t>
      </w:r>
      <w:r w:rsidR="00AB7963" w:rsidRPr="00CF2179">
        <w:rPr>
          <w:vertAlign w:val="superscript"/>
        </w:rPr>
        <w:t>o</w:t>
      </w:r>
      <w:r w:rsidR="00AB7963">
        <w:t xml:space="preserve"> 39,</w:t>
      </w:r>
      <w:r w:rsidR="00AB7963" w:rsidRPr="00CF2179">
        <w:t xml:space="preserve"> § 72, et </w:t>
      </w:r>
      <w:r w:rsidR="00DD47FE">
        <w:rPr>
          <w:i/>
        </w:rPr>
        <w:t>Cardot </w:t>
      </w:r>
      <w:r w:rsidR="00AB7963" w:rsidRPr="00CF2179">
        <w:rPr>
          <w:i/>
        </w:rPr>
        <w:t>c.</w:t>
      </w:r>
      <w:r w:rsidR="00DD47FE">
        <w:rPr>
          <w:i/>
        </w:rPr>
        <w:t> </w:t>
      </w:r>
      <w:r w:rsidR="00AB7963" w:rsidRPr="00CF2179">
        <w:rPr>
          <w:i/>
        </w:rPr>
        <w:t>France</w:t>
      </w:r>
      <w:r w:rsidR="00AB7963" w:rsidRPr="00CF2179">
        <w:t xml:space="preserve"> du 19 mars 1991, série A n</w:t>
      </w:r>
      <w:r w:rsidR="00AB7963" w:rsidRPr="00CF2179">
        <w:rPr>
          <w:vertAlign w:val="superscript"/>
        </w:rPr>
        <w:t>o</w:t>
      </w:r>
      <w:r w:rsidR="00AB7963">
        <w:t xml:space="preserve"> 200,</w:t>
      </w:r>
      <w:r w:rsidR="00AB7963" w:rsidRPr="00CF2179">
        <w:t xml:space="preserve"> § 36)</w:t>
      </w:r>
    </w:p>
    <w:p w:rsidR="00D32B97" w:rsidRDefault="00F62233" w:rsidP="00D71051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31</w:t>
      </w:r>
      <w:r>
        <w:fldChar w:fldCharType="end"/>
      </w:r>
      <w:r>
        <w:t>.  </w:t>
      </w:r>
      <w:r w:rsidR="00AB7963">
        <w:t>La Cour relève, de surcroît, que le requérant a</w:t>
      </w:r>
      <w:r w:rsidR="00DD47FE">
        <w:t xml:space="preserve"> introduit sa requête à la Cour</w:t>
      </w:r>
      <w:r w:rsidR="00AB7963">
        <w:t xml:space="preserve"> le 8 novembre 2007, donc plus de six mois après l</w:t>
      </w:r>
      <w:r w:rsidR="006608FF">
        <w:t>'</w:t>
      </w:r>
      <w:r w:rsidR="00AB7963">
        <w:t>arrêt définitif de la cour d</w:t>
      </w:r>
      <w:r w:rsidR="006608FF">
        <w:t>'</w:t>
      </w:r>
      <w:r w:rsidR="00AB7963">
        <w:t>appel, rendu le 19 mai 2005.</w:t>
      </w:r>
    </w:p>
    <w:p w:rsidR="00AB7963" w:rsidRPr="007657CE" w:rsidRDefault="00F62233" w:rsidP="00D71051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32</w:t>
      </w:r>
      <w:r>
        <w:fldChar w:fldCharType="end"/>
      </w:r>
      <w:r>
        <w:t>.  </w:t>
      </w:r>
      <w:r w:rsidR="00AB7963">
        <w:t>Il s</w:t>
      </w:r>
      <w:r w:rsidR="006608FF">
        <w:t>'</w:t>
      </w:r>
      <w:r w:rsidR="00AB7963">
        <w:t xml:space="preserve">ensuit que ce grief doit être rejeté en application </w:t>
      </w:r>
      <w:r w:rsidR="00DD47FE">
        <w:t>de l</w:t>
      </w:r>
      <w:r w:rsidR="006608FF">
        <w:t>'</w:t>
      </w:r>
      <w:r w:rsidR="00314427">
        <w:t>article 35 </w:t>
      </w:r>
      <w:r w:rsidR="00DD47FE">
        <w:t>§§ </w:t>
      </w:r>
      <w:r>
        <w:t>1 et 4 de la Convention.</w:t>
      </w:r>
    </w:p>
    <w:p w:rsidR="007657CE" w:rsidRPr="007657CE" w:rsidRDefault="007657CE">
      <w:pPr>
        <w:pStyle w:val="JuHIRoman"/>
      </w:pPr>
      <w:r w:rsidRPr="007657CE">
        <w:t>I</w:t>
      </w:r>
      <w:r w:rsidR="007754E0">
        <w:t>I</w:t>
      </w:r>
      <w:r w:rsidRPr="007657CE">
        <w:t>.  SUR LA VIOLATION ALLÉGUÉE DE L</w:t>
      </w:r>
      <w:r w:rsidR="006608FF">
        <w:t>'</w:t>
      </w:r>
      <w:r w:rsidRPr="007657CE">
        <w:t xml:space="preserve">ARTICLE </w:t>
      </w:r>
      <w:r w:rsidR="001D4025">
        <w:t>8</w:t>
      </w:r>
      <w:r w:rsidRPr="007657CE">
        <w:t xml:space="preserve"> DE LA CONVENTION</w:t>
      </w:r>
    </w:p>
    <w:p w:rsidR="007657CE" w:rsidRDefault="007657CE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33</w:t>
      </w:r>
      <w:r w:rsidRPr="007657CE">
        <w:fldChar w:fldCharType="end"/>
      </w:r>
      <w:r w:rsidRPr="007657CE">
        <w:t>.  </w:t>
      </w:r>
      <w:r w:rsidR="00D4674B">
        <w:t>L</w:t>
      </w:r>
      <w:r w:rsidR="00D4674B" w:rsidRPr="00F235F4">
        <w:t>e requérant se plaint</w:t>
      </w:r>
      <w:r w:rsidR="00432420">
        <w:t xml:space="preserve"> aussi</w:t>
      </w:r>
      <w:r w:rsidR="00D4674B">
        <w:t xml:space="preserve"> d</w:t>
      </w:r>
      <w:r w:rsidR="006608FF">
        <w:t>'</w:t>
      </w:r>
      <w:r w:rsidR="00D4674B">
        <w:t>une violation de son droit au respect de sa vie familiale, en raison de l</w:t>
      </w:r>
      <w:r w:rsidR="006608FF">
        <w:t>'</w:t>
      </w:r>
      <w:r w:rsidR="00D4674B">
        <w:t>impossibilité de prendre connaissance du rapport établi par la Société pour la protection de l</w:t>
      </w:r>
      <w:r w:rsidR="006608FF">
        <w:t>'</w:t>
      </w:r>
      <w:r w:rsidR="00D4674B">
        <w:t>enfance</w:t>
      </w:r>
      <w:r w:rsidR="00073ABC">
        <w:t>,</w:t>
      </w:r>
      <w:r w:rsidR="007754E0">
        <w:t xml:space="preserve"> alors qu</w:t>
      </w:r>
      <w:r w:rsidR="006608FF">
        <w:t>'</w:t>
      </w:r>
      <w:r w:rsidR="007754E0">
        <w:t>il avait</w:t>
      </w:r>
      <w:r w:rsidR="00D4674B">
        <w:t xml:space="preserve"> </w:t>
      </w:r>
      <w:r w:rsidR="00432420">
        <w:t xml:space="preserve">notamment </w:t>
      </w:r>
      <w:r w:rsidR="00D4674B">
        <w:t>servi à la cour d</w:t>
      </w:r>
      <w:r w:rsidR="006608FF">
        <w:t>'</w:t>
      </w:r>
      <w:r w:rsidR="00D4674B">
        <w:t>appel pour se prononcer de manière définitive sur le droit de garde de l</w:t>
      </w:r>
      <w:r w:rsidR="006608FF">
        <w:t>'</w:t>
      </w:r>
      <w:r w:rsidR="00D4674B">
        <w:t>enfant du requérant. Il allègue une violation de l</w:t>
      </w:r>
      <w:r w:rsidR="006608FF">
        <w:t>'</w:t>
      </w:r>
      <w:r w:rsidR="00314427">
        <w:t>article </w:t>
      </w:r>
      <w:r w:rsidR="00D4674B">
        <w:t>8 de la Convention, aux termes duquel :</w:t>
      </w:r>
    </w:p>
    <w:p w:rsidR="00D4674B" w:rsidRDefault="00D4674B">
      <w:pPr>
        <w:pStyle w:val="JuQuot"/>
      </w:pPr>
      <w:r>
        <w:t>« 1.  Toute personne a droit au respect de sa vie privée et familiale, de son domicile et de sa correspondance.</w:t>
      </w:r>
    </w:p>
    <w:p w:rsidR="00D4674B" w:rsidRDefault="00D4674B" w:rsidP="00D4674B">
      <w:pPr>
        <w:pStyle w:val="JuQuot"/>
      </w:pPr>
      <w:r>
        <w:t>2.  Il ne peut y avoir ingérence d</w:t>
      </w:r>
      <w:r w:rsidR="006608FF">
        <w:t>'</w:t>
      </w:r>
      <w:r>
        <w:t>une autorité publique dans l</w:t>
      </w:r>
      <w:r w:rsidR="006608FF">
        <w:t>'</w:t>
      </w:r>
      <w:r>
        <w:t>exercice de ce droit que pour autant que cette ingérence est prévue par la loi et qu</w:t>
      </w:r>
      <w:r w:rsidR="006608FF">
        <w:t>'</w:t>
      </w:r>
      <w:r>
        <w:t>elle constitue une mesure qui, dans une société démocratique, est nécessaire à la sécurité nationale, à la sûreté publiqu</w:t>
      </w:r>
      <w:r w:rsidR="00D41095">
        <w:t>e, au bien-</w:t>
      </w:r>
      <w:r>
        <w:t>être économique du pays, à la défense de l</w:t>
      </w:r>
      <w:r w:rsidR="006608FF">
        <w:t>'</w:t>
      </w:r>
      <w:r>
        <w:t>ordre et à la prévention des infractions pénales, à la protection de la santé ou de la morale, ou à la protection des droits et libertés d</w:t>
      </w:r>
      <w:r w:rsidR="006608FF">
        <w:t>'</w:t>
      </w:r>
      <w:r>
        <w:t>autrui. »</w:t>
      </w:r>
    </w:p>
    <w:p w:rsidR="007657CE" w:rsidRDefault="004219E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34</w:t>
      </w:r>
      <w:r>
        <w:fldChar w:fldCharType="end"/>
      </w:r>
      <w:r>
        <w:t>.  </w:t>
      </w:r>
      <w:r w:rsidR="00EB36AD">
        <w:t>Le Gouvernement soutient que non seulement il n</w:t>
      </w:r>
      <w:r w:rsidR="006608FF">
        <w:t>'</w:t>
      </w:r>
      <w:r w:rsidR="00EB36AD">
        <w:t>y a pas eu en l</w:t>
      </w:r>
      <w:r w:rsidR="006608FF">
        <w:t>'</w:t>
      </w:r>
      <w:r w:rsidR="00EB36AD">
        <w:t xml:space="preserve">espèce une ingérence des autorités entraînant la coupure du lien entre le requérant et son fils, mais </w:t>
      </w:r>
      <w:r w:rsidR="00866EB6">
        <w:t xml:space="preserve">il est clair que les autorités ont agi rapidement et efficacement </w:t>
      </w:r>
      <w:r w:rsidR="00576326">
        <w:t>afin que ce lien évolue normalement</w:t>
      </w:r>
      <w:r w:rsidR="00025C68">
        <w:t>,</w:t>
      </w:r>
      <w:r w:rsidR="00576326">
        <w:t xml:space="preserve"> compte tenu du changement provoqué par la séparation des parents. Le contact du père et de son fils est entier, satisfaisant et sans obstacle. Le requérant a été chargé d</w:t>
      </w:r>
      <w:r w:rsidR="006608FF">
        <w:t>'</w:t>
      </w:r>
      <w:r w:rsidR="00576326">
        <w:t>administrer le patrimoine de son fils, comme il l</w:t>
      </w:r>
      <w:r w:rsidR="006608FF">
        <w:t>'</w:t>
      </w:r>
      <w:r w:rsidR="00576326">
        <w:t xml:space="preserve">avait lui-même demandé. Le fait que les tribunaux </w:t>
      </w:r>
      <w:r w:rsidR="00085410">
        <w:t>aient</w:t>
      </w:r>
      <w:r w:rsidR="00576326">
        <w:t xml:space="preserve"> jugé la question de la garde d</w:t>
      </w:r>
      <w:r w:rsidR="006608FF">
        <w:t>'</w:t>
      </w:r>
      <w:r w:rsidR="00EE07E6">
        <w:t>un</w:t>
      </w:r>
      <w:r w:rsidR="00576326">
        <w:t xml:space="preserve">e manière différente </w:t>
      </w:r>
      <w:r w:rsidR="00EE07E6">
        <w:t>de</w:t>
      </w:r>
      <w:r w:rsidR="00576326">
        <w:t xml:space="preserve"> celle souhaitée par le requérant ne peut pas fonder une violation de l</w:t>
      </w:r>
      <w:r w:rsidR="006608FF">
        <w:t>'</w:t>
      </w:r>
      <w:r w:rsidR="00576326">
        <w:t>article 8.</w:t>
      </w:r>
    </w:p>
    <w:p w:rsidR="00576326" w:rsidRPr="007657CE" w:rsidRDefault="004219E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35</w:t>
      </w:r>
      <w:r>
        <w:fldChar w:fldCharType="end"/>
      </w:r>
      <w:r>
        <w:t>.  </w:t>
      </w:r>
      <w:r w:rsidR="00576326">
        <w:t xml:space="preserve">Quant à </w:t>
      </w:r>
      <w:r w:rsidR="005D3D8E">
        <w:t>l</w:t>
      </w:r>
      <w:r w:rsidR="006608FF">
        <w:t>'</w:t>
      </w:r>
      <w:r w:rsidR="005D3D8E">
        <w:t>impossibilité pour le requérant de prendre connaissance du rapport de la Société pour la protection de l</w:t>
      </w:r>
      <w:r w:rsidR="006608FF">
        <w:t>'</w:t>
      </w:r>
      <w:r w:rsidR="005D3D8E">
        <w:t>enfance,</w:t>
      </w:r>
      <w:r w:rsidR="005A0EEF">
        <w:t xml:space="preserve"> le Gouvernement souligne que</w:t>
      </w:r>
      <w:r w:rsidR="005D3D8E">
        <w:t xml:space="preserve"> </w:t>
      </w:r>
      <w:r w:rsidR="005A0EEF">
        <w:t>c</w:t>
      </w:r>
      <w:r w:rsidR="008F3447">
        <w:t>e rapport a été demandé et soumis au dernier stade de la procédure</w:t>
      </w:r>
      <w:r w:rsidR="005A0EEF">
        <w:t xml:space="preserve"> et n</w:t>
      </w:r>
      <w:r w:rsidR="006608FF">
        <w:t>'</w:t>
      </w:r>
      <w:r w:rsidR="005A0EEF">
        <w:t>a</w:t>
      </w:r>
      <w:r w:rsidR="00D10A08">
        <w:t xml:space="preserve"> pas pesé</w:t>
      </w:r>
      <w:r w:rsidR="008F3447">
        <w:t xml:space="preserve"> dans le jugement de la cour d</w:t>
      </w:r>
      <w:r w:rsidR="006608FF">
        <w:t>'</w:t>
      </w:r>
      <w:r w:rsidR="008F3447">
        <w:t>appel quant à l</w:t>
      </w:r>
      <w:r w:rsidR="006608FF">
        <w:t>'</w:t>
      </w:r>
      <w:r w:rsidR="008F3447">
        <w:t>attribution de la garde.</w:t>
      </w:r>
      <w:r w:rsidR="00EA25A5">
        <w:t xml:space="preserve"> </w:t>
      </w:r>
      <w:r w:rsidR="00D10A08">
        <w:t>La garde de l</w:t>
      </w:r>
      <w:r w:rsidR="006608FF">
        <w:t>'</w:t>
      </w:r>
      <w:r w:rsidR="00D10A08">
        <w:t>enfant avait déjà été attribué</w:t>
      </w:r>
      <w:r w:rsidR="00812BB2">
        <w:t>e</w:t>
      </w:r>
      <w:r w:rsidR="00D10A08">
        <w:t xml:space="preserve"> à la mère </w:t>
      </w:r>
      <w:r w:rsidR="008D67A6">
        <w:t>tant dans le cadre des mesures provisoires ordonn</w:t>
      </w:r>
      <w:r w:rsidR="00314427">
        <w:t>ées par le tribunal de première </w:t>
      </w:r>
      <w:r w:rsidR="008D67A6">
        <w:t xml:space="preserve">instance que par </w:t>
      </w:r>
      <w:r w:rsidR="00EE07E6">
        <w:t>le jugement du 21 novembre </w:t>
      </w:r>
      <w:r w:rsidR="00812BB2">
        <w:t>2001.</w:t>
      </w:r>
    </w:p>
    <w:p w:rsidR="007657CE" w:rsidRDefault="004219E8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36</w:t>
      </w:r>
      <w:r>
        <w:fldChar w:fldCharType="end"/>
      </w:r>
      <w:r>
        <w:t>.  </w:t>
      </w:r>
      <w:r w:rsidR="005C6637">
        <w:t xml:space="preserve">Le requérant </w:t>
      </w:r>
      <w:r w:rsidR="00842126">
        <w:t xml:space="preserve">évoque la similitude de son affaire </w:t>
      </w:r>
      <w:r w:rsidR="00EE07E6">
        <w:t>avec l</w:t>
      </w:r>
      <w:r w:rsidR="006608FF">
        <w:t>'</w:t>
      </w:r>
      <w:r w:rsidR="00EE07E6">
        <w:t>affaire </w:t>
      </w:r>
      <w:r w:rsidR="00842126" w:rsidRPr="00EE07E6">
        <w:rPr>
          <w:i/>
        </w:rPr>
        <w:t>Kosmopoulou</w:t>
      </w:r>
      <w:r w:rsidR="00842126">
        <w:t xml:space="preserve"> précitée et souligne que le comportement des autorités </w:t>
      </w:r>
      <w:r w:rsidR="00EE07E6">
        <w:t>a été</w:t>
      </w:r>
      <w:r w:rsidR="00842126">
        <w:t xml:space="preserve"> encore plus arbit</w:t>
      </w:r>
      <w:r w:rsidR="00C519AC">
        <w:t>raire dans son cas car il a été privé de tout accès au rapport de la Société pour la protection de l</w:t>
      </w:r>
      <w:r w:rsidR="006608FF">
        <w:t>'</w:t>
      </w:r>
      <w:r w:rsidR="00C519AC">
        <w:t>enfance sur la base duquel la cour d</w:t>
      </w:r>
      <w:r w:rsidR="006608FF">
        <w:t>'</w:t>
      </w:r>
      <w:r w:rsidR="00C519AC">
        <w:t xml:space="preserve">appel a confié la garde de son enfant à la mère. </w:t>
      </w:r>
      <w:r w:rsidR="00C23989">
        <w:t>Le rapport a été soumis à la cour d</w:t>
      </w:r>
      <w:r w:rsidR="006608FF">
        <w:t>'</w:t>
      </w:r>
      <w:r w:rsidR="00C23989">
        <w:t>appel le jour même des débats et il n</w:t>
      </w:r>
      <w:r w:rsidR="006608FF">
        <w:t>'</w:t>
      </w:r>
      <w:r w:rsidR="00C23989">
        <w:t>y avait donc aucun délai pour en demander copie. Ainsi, le rapport n</w:t>
      </w:r>
      <w:r w:rsidR="006608FF">
        <w:t>'</w:t>
      </w:r>
      <w:r w:rsidR="00C23989">
        <w:t>était accessible ni</w:t>
      </w:r>
      <w:r w:rsidR="00432420">
        <w:t xml:space="preserve"> avant, ni pendant</w:t>
      </w:r>
      <w:r w:rsidR="00C23989">
        <w:t xml:space="preserve"> les débats</w:t>
      </w:r>
      <w:r w:rsidR="00432420">
        <w:t>. Il ne l</w:t>
      </w:r>
      <w:r w:rsidR="006608FF">
        <w:t>'</w:t>
      </w:r>
      <w:r w:rsidR="00432420">
        <w:t>a pas non plus été après les débats</w:t>
      </w:r>
      <w:r w:rsidR="00C23989">
        <w:t xml:space="preserve"> car il a été retiré du dossier.</w:t>
      </w:r>
    </w:p>
    <w:p w:rsidR="00890254" w:rsidRDefault="009C70FF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37</w:t>
      </w:r>
      <w:r>
        <w:fldChar w:fldCharType="end"/>
      </w:r>
      <w:r>
        <w:t>.  </w:t>
      </w:r>
      <w:r w:rsidR="00032D0E">
        <w:t>La Cour relève que le grief du requérant sous l</w:t>
      </w:r>
      <w:r w:rsidR="006608FF">
        <w:t>'</w:t>
      </w:r>
      <w:r w:rsidR="00032D0E">
        <w:t>angle de l</w:t>
      </w:r>
      <w:r w:rsidR="006608FF">
        <w:t>'</w:t>
      </w:r>
      <w:r w:rsidR="00314427">
        <w:t>article </w:t>
      </w:r>
      <w:r w:rsidR="00032D0E">
        <w:t>8 comporte deux branches. La première concerne l</w:t>
      </w:r>
      <w:r w:rsidR="006608FF">
        <w:t>'</w:t>
      </w:r>
      <w:r w:rsidR="00032D0E">
        <w:t>utilisation du rapport de la Société pour la protection de l</w:t>
      </w:r>
      <w:r w:rsidR="006608FF">
        <w:t>'</w:t>
      </w:r>
      <w:r w:rsidR="00032D0E">
        <w:t>enfance dans le cadre de la procédure devant la cour d</w:t>
      </w:r>
      <w:r w:rsidR="006608FF">
        <w:t>'</w:t>
      </w:r>
      <w:r w:rsidR="00032D0E">
        <w:t>appel. Sur ce terrain là, la Cour rappelle que le grief du requérant se confond avec celui t</w:t>
      </w:r>
      <w:r w:rsidR="000D3008">
        <w:t>iré de l</w:t>
      </w:r>
      <w:r w:rsidR="006608FF">
        <w:t>'</w:t>
      </w:r>
      <w:r w:rsidR="000D3008">
        <w:t>article 6 de la C</w:t>
      </w:r>
      <w:r w:rsidR="00032D0E">
        <w:t xml:space="preserve">onvention et que la Cour a jugé irrecevable pour non-épuisement des voies de recours internes. </w:t>
      </w:r>
      <w:r w:rsidR="000D3008">
        <w:t>La seconde branche du grief a trait à l</w:t>
      </w:r>
      <w:r w:rsidR="006608FF">
        <w:t>'</w:t>
      </w:r>
      <w:r w:rsidR="000D3008">
        <w:t xml:space="preserve">impossibilité </w:t>
      </w:r>
      <w:r w:rsidR="00DD47FE">
        <w:t>pour le</w:t>
      </w:r>
      <w:r w:rsidR="000D3008">
        <w:t xml:space="preserve"> requérant d</w:t>
      </w:r>
      <w:r w:rsidR="006608FF">
        <w:t>'</w:t>
      </w:r>
      <w:r w:rsidR="000D3008">
        <w:t>avoir accès à ce rapport postérieurement à l</w:t>
      </w:r>
      <w:r w:rsidR="006608FF">
        <w:t>'</w:t>
      </w:r>
      <w:r w:rsidR="00DD47FE">
        <w:t>arrêt de la cour d</w:t>
      </w:r>
      <w:r w:rsidR="006608FF">
        <w:t>'</w:t>
      </w:r>
      <w:r w:rsidR="00DD47FE">
        <w:t>appel du 19 mai </w:t>
      </w:r>
      <w:r w:rsidR="000D3008">
        <w:t>2005.</w:t>
      </w:r>
      <w:r w:rsidR="005F6E97">
        <w:t xml:space="preserve"> Or, un tel grief concerne l</w:t>
      </w:r>
      <w:r w:rsidR="006608FF">
        <w:t>'</w:t>
      </w:r>
      <w:r w:rsidR="005F6E97">
        <w:t>exercice par le requérant de son droit à un accès effectif à des informations concernant tant sa vie privé que sa vie familiale au sens de l</w:t>
      </w:r>
      <w:r w:rsidR="006608FF">
        <w:t>'</w:t>
      </w:r>
      <w:r w:rsidR="005F6E97">
        <w:t>article 8.</w:t>
      </w:r>
    </w:p>
    <w:p w:rsidR="00890254" w:rsidRDefault="00766714" w:rsidP="005C663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38</w:t>
      </w:r>
      <w:r>
        <w:fldChar w:fldCharType="end"/>
      </w:r>
      <w:r>
        <w:t>.  </w:t>
      </w:r>
      <w:r w:rsidR="00876D45">
        <w:t>La Cour souhaite d</w:t>
      </w:r>
      <w:r w:rsidR="006608FF">
        <w:t>'</w:t>
      </w:r>
      <w:r w:rsidR="00876D45">
        <w:t>emblée distinguer l</w:t>
      </w:r>
      <w:r w:rsidR="006608FF">
        <w:t>'</w:t>
      </w:r>
      <w:r w:rsidR="00876D45">
        <w:t xml:space="preserve">affaire </w:t>
      </w:r>
      <w:r w:rsidR="00876D45" w:rsidRPr="00EE07E6">
        <w:rPr>
          <w:i/>
        </w:rPr>
        <w:t>Kosmopoulou</w:t>
      </w:r>
      <w:r w:rsidR="00876D45">
        <w:t xml:space="preserve"> de la présente affaire. Dans la première, la question</w:t>
      </w:r>
      <w:r w:rsidR="00432420">
        <w:t xml:space="preserve"> essentielle</w:t>
      </w:r>
      <w:r w:rsidR="00876D45">
        <w:t xml:space="preserve"> qu</w:t>
      </w:r>
      <w:r w:rsidR="006608FF">
        <w:t>'</w:t>
      </w:r>
      <w:r w:rsidR="00876D45">
        <w:t>elle devait trancher était celle de savoir si les autorités avaient pris les mesures nécessaires pour permettre à la requérante de maintenir, après son divorce, une vie familiale ave</w:t>
      </w:r>
      <w:r w:rsidR="00DD47FE">
        <w:t>c</w:t>
      </w:r>
      <w:r w:rsidR="00876D45">
        <w:t xml:space="preserve"> sa fille, alors que les juridictions avaient provisoirement suspendu le droit de visite </w:t>
      </w:r>
      <w:r w:rsidR="00220EF0">
        <w:t>de la requérante. En reva</w:t>
      </w:r>
      <w:r w:rsidR="00432420">
        <w:t>nche, en l</w:t>
      </w:r>
      <w:r w:rsidR="006608FF">
        <w:t>'</w:t>
      </w:r>
      <w:r w:rsidR="00432420">
        <w:t>espèce, il était impossible pour le requérant d</w:t>
      </w:r>
      <w:r w:rsidR="006608FF">
        <w:t>'</w:t>
      </w:r>
      <w:r w:rsidR="00432420">
        <w:t>avoir accès à un rapport soumis dans le cadre</w:t>
      </w:r>
      <w:r w:rsidR="00220EF0">
        <w:t xml:space="preserve"> d</w:t>
      </w:r>
      <w:r w:rsidR="006608FF">
        <w:t>'</w:t>
      </w:r>
      <w:r w:rsidR="00220EF0">
        <w:t>une procédure d</w:t>
      </w:r>
      <w:r w:rsidR="006608FF">
        <w:t>'</w:t>
      </w:r>
      <w:r w:rsidR="00220EF0">
        <w:t>attribution de la garde d</w:t>
      </w:r>
      <w:r w:rsidR="006608FF">
        <w:t>'</w:t>
      </w:r>
      <w:r w:rsidR="00220EF0">
        <w:t>un enfant suite à la séparation de ses parents.</w:t>
      </w:r>
    </w:p>
    <w:p w:rsidR="00220ABC" w:rsidRDefault="004219E8" w:rsidP="005C663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39</w:t>
      </w:r>
      <w:r>
        <w:fldChar w:fldCharType="end"/>
      </w:r>
      <w:r>
        <w:t>.  </w:t>
      </w:r>
      <w:r w:rsidR="0053749F">
        <w:t>La Cour relève que</w:t>
      </w:r>
      <w:r w:rsidR="004043B3">
        <w:t xml:space="preserve"> la cour d</w:t>
      </w:r>
      <w:r w:rsidR="006608FF">
        <w:t>'</w:t>
      </w:r>
      <w:r w:rsidR="004043B3">
        <w:t>appel a</w:t>
      </w:r>
      <w:r w:rsidR="00432420">
        <w:t>vait</w:t>
      </w:r>
      <w:r w:rsidR="004043B3">
        <w:t xml:space="preserve"> estimé nécessaire d</w:t>
      </w:r>
      <w:r w:rsidR="006608FF">
        <w:t>'</w:t>
      </w:r>
      <w:r w:rsidR="004043B3">
        <w:t>ordonner une enquête sociale quant aux conditions de vie de l</w:t>
      </w:r>
      <w:r w:rsidR="006608FF">
        <w:t>'</w:t>
      </w:r>
      <w:r w:rsidR="004043B3">
        <w:t>enfant et de se fonder sur un rapport qui devait être établi par la Société pour la protection de l</w:t>
      </w:r>
      <w:r w:rsidR="006608FF">
        <w:t>'</w:t>
      </w:r>
      <w:r w:rsidR="004043B3">
        <w:t xml:space="preserve">enfance. </w:t>
      </w:r>
      <w:r w:rsidR="009C70FF">
        <w:t>Le requérant affirme</w:t>
      </w:r>
      <w:r w:rsidR="00432420">
        <w:t xml:space="preserve"> aussi</w:t>
      </w:r>
      <w:r w:rsidR="009C70FF">
        <w:t>, sans être con</w:t>
      </w:r>
      <w:smartTag w:uri="urn:schemas-microsoft-com:office:smarttags" w:element="PersonName">
        <w:r w:rsidR="009C70FF">
          <w:t>test</w:t>
        </w:r>
      </w:smartTag>
      <w:r w:rsidR="009C70FF">
        <w:t>é par le Gouvernement, qu</w:t>
      </w:r>
      <w:r w:rsidR="006608FF">
        <w:t>'</w:t>
      </w:r>
      <w:r w:rsidR="009C70FF">
        <w:t>il a pu participer activement à l</w:t>
      </w:r>
      <w:r w:rsidR="006608FF">
        <w:t>'</w:t>
      </w:r>
      <w:r w:rsidR="009C70FF">
        <w:t>établissement de ce rapport.</w:t>
      </w:r>
    </w:p>
    <w:p w:rsidR="00C52091" w:rsidRDefault="004219E8" w:rsidP="005C663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40</w:t>
      </w:r>
      <w:r>
        <w:fldChar w:fldCharType="end"/>
      </w:r>
      <w:r>
        <w:t>.  </w:t>
      </w:r>
      <w:r w:rsidR="00856682">
        <w:t>A l</w:t>
      </w:r>
      <w:r w:rsidR="006608FF">
        <w:t>'</w:t>
      </w:r>
      <w:r w:rsidR="00856682">
        <w:t>issue de la procédure devant la cour d</w:t>
      </w:r>
      <w:r w:rsidR="006608FF">
        <w:t>'</w:t>
      </w:r>
      <w:r w:rsidR="00856682">
        <w:t>appel, l</w:t>
      </w:r>
      <w:r w:rsidR="00115049">
        <w:t>e requérant a saisi tant la Société pour la protection de l</w:t>
      </w:r>
      <w:r w:rsidR="006608FF">
        <w:t>'</w:t>
      </w:r>
      <w:r w:rsidR="00115049">
        <w:t>enfance que le procureur compétent pour tenter d</w:t>
      </w:r>
      <w:r w:rsidR="006608FF">
        <w:t>'</w:t>
      </w:r>
      <w:r w:rsidR="00115049">
        <w:t xml:space="preserve">obtenir </w:t>
      </w:r>
      <w:r w:rsidR="006F782A">
        <w:t xml:space="preserve">la </w:t>
      </w:r>
      <w:r w:rsidR="00115049">
        <w:t xml:space="preserve">copie du rapport. </w:t>
      </w:r>
      <w:r w:rsidR="00C52091">
        <w:t xml:space="preserve">La première </w:t>
      </w:r>
      <w:r w:rsidR="00C72014">
        <w:t>l</w:t>
      </w:r>
      <w:r w:rsidR="006608FF">
        <w:t>'</w:t>
      </w:r>
      <w:r w:rsidR="00C72014">
        <w:t>a informé qu</w:t>
      </w:r>
      <w:r w:rsidR="006608FF">
        <w:t>'</w:t>
      </w:r>
      <w:r w:rsidR="00C72014">
        <w:t>elle ne pouvait pas satisfaire sa demande car le rapport serait confidentiel et établi à la seule attention de la cour d</w:t>
      </w:r>
      <w:r w:rsidR="006608FF">
        <w:t>'</w:t>
      </w:r>
      <w:r w:rsidR="00C72014">
        <w:t>appel. Le second, par deux phrases manuscrites sur le texte même de la demande, a rejeté celle-ci au motif que le requérant n</w:t>
      </w:r>
      <w:r w:rsidR="006608FF">
        <w:t>'</w:t>
      </w:r>
      <w:r w:rsidR="00C72014">
        <w:t>avait pas un intérêt légitime à prendre connaissance d</w:t>
      </w:r>
      <w:r w:rsidR="006608FF">
        <w:t>'</w:t>
      </w:r>
      <w:r w:rsidR="00C72014">
        <w:t>informations concernant les données personnelles d</w:t>
      </w:r>
      <w:r w:rsidR="006608FF">
        <w:t>'</w:t>
      </w:r>
      <w:r w:rsidR="00C72014">
        <w:t>un mineur.</w:t>
      </w:r>
    </w:p>
    <w:p w:rsidR="00A15B67" w:rsidRDefault="00A15B67" w:rsidP="00A15B6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41</w:t>
      </w:r>
      <w:r>
        <w:fldChar w:fldCharType="end"/>
      </w:r>
      <w:r>
        <w:t>.  </w:t>
      </w:r>
      <w:r w:rsidRPr="00D84DB3">
        <w:t>La Cour rappelle qu</w:t>
      </w:r>
      <w:r w:rsidR="006608FF">
        <w:t>'</w:t>
      </w:r>
      <w:r w:rsidRPr="00D84DB3">
        <w:t>aux engagements plutôt négatifs contenus dans l</w:t>
      </w:r>
      <w:r w:rsidR="006608FF">
        <w:t>'</w:t>
      </w:r>
      <w:r w:rsidR="00314427">
        <w:t>article </w:t>
      </w:r>
      <w:r w:rsidRPr="00D84DB3">
        <w:t>8 de la Convention peuvent s</w:t>
      </w:r>
      <w:r w:rsidR="006608FF">
        <w:t>'</w:t>
      </w:r>
      <w:r w:rsidRPr="00D84DB3">
        <w:t>ajouter des obligations positives inhérentes à un respect effectif de la vie privée. Pour savoir s</w:t>
      </w:r>
      <w:r w:rsidR="006608FF">
        <w:t>'</w:t>
      </w:r>
      <w:r w:rsidRPr="00D84DB3">
        <w:t>il exist</w:t>
      </w:r>
      <w:r>
        <w:t>e une telle obligation, il convient</w:t>
      </w:r>
      <w:r w:rsidRPr="00D84DB3">
        <w:t xml:space="preserve"> de prendre en compte le juste équilibre à ménager entre l</w:t>
      </w:r>
      <w:r w:rsidR="006608FF">
        <w:t>'</w:t>
      </w:r>
      <w:r w:rsidRPr="00D84DB3">
        <w:t>intérêt général et les intérêts antagoniques de l</w:t>
      </w:r>
      <w:r w:rsidR="006608FF">
        <w:t>'</w:t>
      </w:r>
      <w:r w:rsidRPr="00D84DB3">
        <w:t>individu concerné, les objectifs visés au paragraphe 2 de l</w:t>
      </w:r>
      <w:r w:rsidR="006608FF">
        <w:t>'</w:t>
      </w:r>
      <w:r w:rsidRPr="00D84DB3">
        <w:t>article 8 jouant un certain rôle (</w:t>
      </w:r>
      <w:r w:rsidRPr="00D84DB3">
        <w:rPr>
          <w:i/>
        </w:rPr>
        <w:t>Gaskin</w:t>
      </w:r>
      <w:r>
        <w:rPr>
          <w:i/>
        </w:rPr>
        <w:t xml:space="preserve"> c. Royaume-Uni,</w:t>
      </w:r>
      <w:r w:rsidR="00766714">
        <w:rPr>
          <w:i/>
        </w:rPr>
        <w:t xml:space="preserve"> </w:t>
      </w:r>
      <w:r>
        <w:t>7 juillet 1989, § 42, série A n</w:t>
      </w:r>
      <w:r w:rsidR="00C24014" w:rsidRPr="00C24014">
        <w:rPr>
          <w:vertAlign w:val="superscript"/>
        </w:rPr>
        <w:t>o</w:t>
      </w:r>
      <w:r>
        <w:t xml:space="preserve"> 160). L</w:t>
      </w:r>
      <w:r w:rsidRPr="00D84DB3">
        <w:t xml:space="preserve">a Cour </w:t>
      </w:r>
      <w:r>
        <w:t xml:space="preserve">rappelle aussi </w:t>
      </w:r>
      <w:r w:rsidRPr="00D84DB3">
        <w:t>qu</w:t>
      </w:r>
      <w:r w:rsidR="006608FF">
        <w:t>'</w:t>
      </w:r>
      <w:r>
        <w:t>il pèse</w:t>
      </w:r>
      <w:r w:rsidRPr="00D84DB3">
        <w:t xml:space="preserve"> sur les autorités une obligation positive d</w:t>
      </w:r>
      <w:r w:rsidR="006608FF">
        <w:t>'</w:t>
      </w:r>
      <w:r w:rsidRPr="00D84DB3">
        <w:t xml:space="preserve">offrir au requérant une « procédure effective et accessible » </w:t>
      </w:r>
      <w:r>
        <w:t>lui permettant</w:t>
      </w:r>
      <w:r w:rsidRPr="00D84DB3">
        <w:t xml:space="preserve"> d</w:t>
      </w:r>
      <w:r w:rsidR="006608FF">
        <w:t>'</w:t>
      </w:r>
      <w:r w:rsidRPr="00D84DB3">
        <w:t>avoir accès à « l</w:t>
      </w:r>
      <w:r w:rsidR="006608FF">
        <w:t>'</w:t>
      </w:r>
      <w:r w:rsidRPr="00D84DB3">
        <w:t>ensemble des informations pertinentes et appropriées »</w:t>
      </w:r>
      <w:r>
        <w:t xml:space="preserve"> (</w:t>
      </w:r>
      <w:r w:rsidR="00314427">
        <w:rPr>
          <w:i/>
        </w:rPr>
        <w:t>Roche c. </w:t>
      </w:r>
      <w:r w:rsidRPr="00DD54E8">
        <w:rPr>
          <w:i/>
        </w:rPr>
        <w:t>Royaume-Uni</w:t>
      </w:r>
      <w:r>
        <w:t xml:space="preserve"> [GC], n</w:t>
      </w:r>
      <w:r w:rsidR="00C24014" w:rsidRPr="00C24014">
        <w:rPr>
          <w:vertAlign w:val="superscript"/>
        </w:rPr>
        <w:t>o</w:t>
      </w:r>
      <w:r>
        <w:t xml:space="preserve"> 32555/96, § 162, ECHR 2005-X).</w:t>
      </w:r>
    </w:p>
    <w:p w:rsidR="00890254" w:rsidRDefault="00766714" w:rsidP="00766714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42</w:t>
      </w:r>
      <w:r>
        <w:fldChar w:fldCharType="end"/>
      </w:r>
      <w:r>
        <w:t>.  La Cour note que la législation nationale concernant l</w:t>
      </w:r>
      <w:r w:rsidR="006608FF">
        <w:t>'</w:t>
      </w:r>
      <w:r>
        <w:t>utilisation du rapport établi suite à une enquête sociale n</w:t>
      </w:r>
      <w:r w:rsidR="006608FF">
        <w:t>'</w:t>
      </w:r>
      <w:r>
        <w:t>est pas d</w:t>
      </w:r>
      <w:r w:rsidR="006608FF">
        <w:t>'</w:t>
      </w:r>
      <w:r>
        <w:t>une grande limpidité. Les articles pertinents du code civil n</w:t>
      </w:r>
      <w:r w:rsidR="006608FF">
        <w:t>'</w:t>
      </w:r>
      <w:r>
        <w:t>y font aucune référence. L</w:t>
      </w:r>
      <w:r w:rsidR="006608FF">
        <w:t>'</w:t>
      </w:r>
      <w:r>
        <w:t>article 5 de la loi n</w:t>
      </w:r>
      <w:r w:rsidR="00C24014" w:rsidRPr="00C24014">
        <w:rPr>
          <w:vertAlign w:val="superscript"/>
        </w:rPr>
        <w:t>o</w:t>
      </w:r>
      <w:r>
        <w:t xml:space="preserve"> 378 et les articles 8 et 16 du décret présidentiel n</w:t>
      </w:r>
      <w:r w:rsidR="00C24014" w:rsidRPr="00C24014">
        <w:rPr>
          <w:vertAlign w:val="superscript"/>
        </w:rPr>
        <w:t>o</w:t>
      </w:r>
      <w:r w:rsidR="00314427">
        <w:t> </w:t>
      </w:r>
      <w:r>
        <w:t>49/79 (paragraphes 24–25 ci-dessus) ne prévoient ni délai pour le dépôt du rapport au tribunal, ni possibilité pour les parties à la procédure d</w:t>
      </w:r>
      <w:r w:rsidR="006608FF">
        <w:t>'</w:t>
      </w:r>
      <w:r>
        <w:t>en prendre connaissance et de le commenter si elles le souhaitent. De plus, en l</w:t>
      </w:r>
      <w:r w:rsidR="006608FF">
        <w:t>'</w:t>
      </w:r>
      <w:r>
        <w:t>espèce, la seule information pertinente qui ait été fournie au requérant provenait du médiateur</w:t>
      </w:r>
      <w:r w:rsidR="00DD47FE">
        <w:t>,</w:t>
      </w:r>
      <w:r>
        <w:t xml:space="preserve"> qui a interprété la législation pertinente et rapporté partiellement des informations transmises à celui-ci par la Société de la protection de l</w:t>
      </w:r>
      <w:r w:rsidR="006608FF">
        <w:t>'</w:t>
      </w:r>
      <w:r>
        <w:t>enfance elle-même. Ainsi, le médiateur soulignait que selon le sens grammatical des dispositions susmentionnées, un tel rapport n</w:t>
      </w:r>
      <w:r w:rsidR="006608FF">
        <w:t>'</w:t>
      </w:r>
      <w:r>
        <w:t>était considéré comme confidentiel que dans le cadre des procédures pénales et non civiles comme celle qui concernait le requérant.</w:t>
      </w:r>
    </w:p>
    <w:p w:rsidR="00890254" w:rsidRDefault="005225F8" w:rsidP="005C663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43</w:t>
      </w:r>
      <w:r>
        <w:fldChar w:fldCharType="end"/>
      </w:r>
      <w:r>
        <w:t>.  </w:t>
      </w:r>
      <w:r w:rsidR="00856682">
        <w:t>La Cour considère que les informations contenues dans ce rapport étai</w:t>
      </w:r>
      <w:r>
        <w:t>en</w:t>
      </w:r>
      <w:r w:rsidR="00432420">
        <w:t>t p</w:t>
      </w:r>
      <w:r w:rsidR="00953841">
        <w:t>ertin</w:t>
      </w:r>
      <w:r w:rsidR="00DD47FE">
        <w:t>e</w:t>
      </w:r>
      <w:r w:rsidR="00432420">
        <w:t>ntes</w:t>
      </w:r>
      <w:r w:rsidR="00856682">
        <w:t xml:space="preserve"> pour le requérant et pour sa relation avec son fils</w:t>
      </w:r>
      <w:r w:rsidR="008657D2">
        <w:t>. Si la cour d</w:t>
      </w:r>
      <w:r w:rsidR="006608FF">
        <w:t>'</w:t>
      </w:r>
      <w:r w:rsidR="008657D2">
        <w:t>appel a estimé que l</w:t>
      </w:r>
      <w:r w:rsidR="006608FF">
        <w:t>'</w:t>
      </w:r>
      <w:r w:rsidR="008657D2">
        <w:t>intérêt de l</w:t>
      </w:r>
      <w:r w:rsidR="006608FF">
        <w:t>'</w:t>
      </w:r>
      <w:r w:rsidR="008657D2">
        <w:t xml:space="preserve">enfant imposait </w:t>
      </w:r>
      <w:r>
        <w:t>de ne pas l</w:t>
      </w:r>
      <w:r w:rsidR="006608FF">
        <w:t>'</w:t>
      </w:r>
      <w:r>
        <w:t>éloigner de la mère, elle a reconnu que le requérant faisait preuve d</w:t>
      </w:r>
      <w:r w:rsidR="006608FF">
        <w:t>'</w:t>
      </w:r>
      <w:r>
        <w:t>une grande affection envers lui, ce qui est d</w:t>
      </w:r>
      <w:r w:rsidR="006608FF">
        <w:t>'</w:t>
      </w:r>
      <w:r>
        <w:t>ailleurs démontré par ses efforts persistants d</w:t>
      </w:r>
      <w:r w:rsidR="006608FF">
        <w:t>'</w:t>
      </w:r>
      <w:r>
        <w:t>obtenir la garde de l</w:t>
      </w:r>
      <w:r w:rsidR="006608FF">
        <w:t>'</w:t>
      </w:r>
      <w:r>
        <w:t>enfant.</w:t>
      </w:r>
      <w:r w:rsidR="00887D4C">
        <w:t xml:space="preserve"> La communication du rapport lui aurait donc permis de prendre connaissance d</w:t>
      </w:r>
      <w:r w:rsidR="006608FF">
        <w:t>'</w:t>
      </w:r>
      <w:r w:rsidR="00887D4C">
        <w:t>éventuels points négatifs contenus dans celui-ci et qui ont pu influencer la décision des juges et, le cas échéant, les prendre en compte pour l</w:t>
      </w:r>
      <w:r w:rsidR="006608FF">
        <w:t>'</w:t>
      </w:r>
      <w:r w:rsidR="00887D4C">
        <w:t>avenir en vue d</w:t>
      </w:r>
      <w:r w:rsidR="006608FF">
        <w:t>'</w:t>
      </w:r>
      <w:r w:rsidR="00887D4C">
        <w:t>améliorer sa relation avec son fils.</w:t>
      </w:r>
      <w:r w:rsidR="00766714">
        <w:t xml:space="preserve"> </w:t>
      </w:r>
      <w:r w:rsidR="00953841">
        <w:t>Il apparaît que l</w:t>
      </w:r>
      <w:r w:rsidR="00766714">
        <w:t xml:space="preserve">e requérant avait </w:t>
      </w:r>
      <w:r w:rsidR="00953841">
        <w:t xml:space="preserve">aussi </w:t>
      </w:r>
      <w:r w:rsidR="00766714">
        <w:t>participé à l</w:t>
      </w:r>
      <w:r w:rsidR="006608FF">
        <w:t>'</w:t>
      </w:r>
      <w:r w:rsidR="00766714">
        <w:t>élaboration du rapport et il était donc légitime qu</w:t>
      </w:r>
      <w:r w:rsidR="006608FF">
        <w:t>'</w:t>
      </w:r>
      <w:r w:rsidR="00766714">
        <w:t xml:space="preserve">il </w:t>
      </w:r>
      <w:r w:rsidR="00953841">
        <w:t>puisse connaître la manière dont</w:t>
      </w:r>
      <w:r w:rsidR="00766714">
        <w:t xml:space="preserve"> les informations qu</w:t>
      </w:r>
      <w:r w:rsidR="006608FF">
        <w:t>'</w:t>
      </w:r>
      <w:r w:rsidR="00766714">
        <w:t>il a</w:t>
      </w:r>
      <w:r w:rsidR="00385D91">
        <w:t>vait</w:t>
      </w:r>
      <w:r w:rsidR="00766714">
        <w:t xml:space="preserve"> fournies étaient analysé</w:t>
      </w:r>
      <w:r w:rsidR="00DD47FE">
        <w:t>e</w:t>
      </w:r>
      <w:r w:rsidR="00766714">
        <w:t xml:space="preserve">s et prises en compte par la </w:t>
      </w:r>
      <w:r w:rsidR="00A609AC">
        <w:t>Société de la protection de l</w:t>
      </w:r>
      <w:r w:rsidR="006608FF">
        <w:t>'</w:t>
      </w:r>
      <w:r w:rsidR="00A609AC">
        <w:t>enfance.</w:t>
      </w:r>
    </w:p>
    <w:p w:rsidR="00890254" w:rsidRDefault="002E18F5" w:rsidP="005C663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44</w:t>
      </w:r>
      <w:r>
        <w:fldChar w:fldCharType="end"/>
      </w:r>
      <w:r>
        <w:t>.  </w:t>
      </w:r>
      <w:r w:rsidR="00766714">
        <w:t>Aux yeux de la C</w:t>
      </w:r>
      <w:r w:rsidR="00887D4C">
        <w:t>our, le refus en substance non-motivé</w:t>
      </w:r>
      <w:r>
        <w:t xml:space="preserve"> des autorités à consentir à la divulgation du rapport après la fin de la procédure devant la cour d</w:t>
      </w:r>
      <w:r w:rsidR="006608FF">
        <w:t>'</w:t>
      </w:r>
      <w:r>
        <w:t>appel s</w:t>
      </w:r>
      <w:r w:rsidR="006608FF">
        <w:t>'</w:t>
      </w:r>
      <w:r>
        <w:t>analyse en une méconnaissance de l</w:t>
      </w:r>
      <w:r w:rsidR="006608FF">
        <w:t>'</w:t>
      </w:r>
      <w:r>
        <w:t>obligation positive d</w:t>
      </w:r>
      <w:r w:rsidR="006608FF">
        <w:t>'</w:t>
      </w:r>
      <w:r>
        <w:t xml:space="preserve">assurer le respect effectif du droit du requérant à sa vie privée et familiale. </w:t>
      </w:r>
      <w:r w:rsidR="00385D91">
        <w:t>A cet égard, la Cour rappelle qu</w:t>
      </w:r>
      <w:r w:rsidR="006608FF">
        <w:t>'</w:t>
      </w:r>
      <w:r w:rsidR="00385D91">
        <w:t>il appartient aux autorités de démontrer qu</w:t>
      </w:r>
      <w:r w:rsidR="006608FF">
        <w:t>'</w:t>
      </w:r>
      <w:r w:rsidR="00385D91">
        <w:t>il existe des raisons impérieuses justifiant la non-divulgation à l</w:t>
      </w:r>
      <w:r w:rsidR="006608FF">
        <w:t>'</w:t>
      </w:r>
      <w:r w:rsidR="00385D91">
        <w:t>intéressé d</w:t>
      </w:r>
      <w:r w:rsidR="006608FF">
        <w:t>'</w:t>
      </w:r>
      <w:r w:rsidR="00385D91">
        <w:t>un rapport contenant des informations personnelles le concernant directement (</w:t>
      </w:r>
      <w:r w:rsidR="00385D91" w:rsidRPr="00385D91">
        <w:rPr>
          <w:i/>
        </w:rPr>
        <w:t>K.H et autres c. Slovaquie</w:t>
      </w:r>
      <w:r w:rsidR="00385D91">
        <w:t>, n</w:t>
      </w:r>
      <w:r w:rsidR="00C24014" w:rsidRPr="00C24014">
        <w:rPr>
          <w:vertAlign w:val="superscript"/>
        </w:rPr>
        <w:t>o</w:t>
      </w:r>
      <w:r w:rsidR="00385D91">
        <w:t xml:space="preserve"> 32881/04, § 48, 28 avril 2008). Or, en l</w:t>
      </w:r>
      <w:r w:rsidR="006608FF">
        <w:t>'</w:t>
      </w:r>
      <w:r w:rsidR="00385D91">
        <w:t>espèce, ni les autorités compétentes, ni le Gouvernement n</w:t>
      </w:r>
      <w:r w:rsidR="006608FF">
        <w:t>'</w:t>
      </w:r>
      <w:r w:rsidR="00385D91">
        <w:t>avancent de telles raisons</w:t>
      </w:r>
      <w:r w:rsidR="00953841">
        <w:t xml:space="preserve"> et le rapport litigieux contenait, par la force des choses, des informations de cette nature</w:t>
      </w:r>
      <w:r w:rsidR="00385D91">
        <w:t>.</w:t>
      </w:r>
    </w:p>
    <w:p w:rsidR="002E18F5" w:rsidRDefault="002E18F5" w:rsidP="005C6637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45</w:t>
      </w:r>
      <w:r>
        <w:fldChar w:fldCharType="end"/>
      </w:r>
      <w:r>
        <w:t>.  Il y a donc eu violation de l</w:t>
      </w:r>
      <w:r w:rsidR="006608FF">
        <w:t>'</w:t>
      </w:r>
      <w:r>
        <w:t>article 8 de la Convention.</w:t>
      </w:r>
    </w:p>
    <w:p w:rsidR="007657CE" w:rsidRPr="007657CE" w:rsidRDefault="00BB4A47">
      <w:pPr>
        <w:pStyle w:val="JuHIRoman"/>
      </w:pPr>
      <w:r>
        <w:t>III</w:t>
      </w:r>
      <w:r w:rsidR="007657CE" w:rsidRPr="007657CE">
        <w:t>.  SUR L</w:t>
      </w:r>
      <w:r w:rsidR="006608FF">
        <w:t>'</w:t>
      </w:r>
      <w:r w:rsidR="007657CE" w:rsidRPr="007657CE">
        <w:t>APPLICATION DE L</w:t>
      </w:r>
      <w:r w:rsidR="006608FF">
        <w:t>'</w:t>
      </w:r>
      <w:r w:rsidR="007657CE" w:rsidRPr="007657CE">
        <w:t>ARTICLE 41 DE LA CONVENTION</w:t>
      </w:r>
    </w:p>
    <w:p w:rsidR="007657CE" w:rsidRPr="007657CE" w:rsidRDefault="004219E8">
      <w:pPr>
        <w:pStyle w:val="JuPara"/>
        <w:keepNext/>
        <w:keepLines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46</w:t>
      </w:r>
      <w:r>
        <w:fldChar w:fldCharType="end"/>
      </w:r>
      <w:r>
        <w:t>.  </w:t>
      </w:r>
      <w:r w:rsidR="007657CE" w:rsidRPr="007657CE">
        <w:t>Aux termes de l</w:t>
      </w:r>
      <w:r w:rsidR="006608FF">
        <w:t>'</w:t>
      </w:r>
      <w:r w:rsidR="007657CE" w:rsidRPr="007657CE">
        <w:t>article 41 de la Convention,</w:t>
      </w:r>
    </w:p>
    <w:p w:rsidR="007657CE" w:rsidRPr="007657CE" w:rsidRDefault="007657CE">
      <w:pPr>
        <w:pStyle w:val="JuQuot"/>
        <w:keepNext/>
        <w:keepLines/>
      </w:pPr>
      <w:r w:rsidRPr="007657CE">
        <w:t>« Si la Cour déclare qu</w:t>
      </w:r>
      <w:r w:rsidR="006608FF">
        <w:t>'</w:t>
      </w:r>
      <w:r w:rsidRPr="007657CE">
        <w:t>il y a eu violation de la Convention ou de ses Protocoles, et si le droit interne de la Haute Partie contractante ne permet d</w:t>
      </w:r>
      <w:r w:rsidR="006608FF">
        <w:t>'</w:t>
      </w:r>
      <w:r w:rsidRPr="007657CE">
        <w:t>effacer qu</w:t>
      </w:r>
      <w:r w:rsidR="006608FF">
        <w:t>'</w:t>
      </w:r>
      <w:r w:rsidRPr="007657CE">
        <w:t>imparfaitement les conséquences de cette violation, la Cour accorde à la partie lésée, s</w:t>
      </w:r>
      <w:r w:rsidR="006608FF">
        <w:t>'</w:t>
      </w:r>
      <w:r w:rsidRPr="007657CE">
        <w:t>il y a lieu, une satisfaction équitable. »</w:t>
      </w:r>
    </w:p>
    <w:p w:rsidR="007657CE" w:rsidRPr="007657CE" w:rsidRDefault="007657CE">
      <w:pPr>
        <w:pStyle w:val="JuHA"/>
      </w:pPr>
      <w:r w:rsidRPr="007657CE">
        <w:t>A.  Dommage</w:t>
      </w:r>
    </w:p>
    <w:p w:rsidR="007657CE" w:rsidRDefault="007657CE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47</w:t>
      </w:r>
      <w:r w:rsidRPr="007657CE">
        <w:fldChar w:fldCharType="end"/>
      </w:r>
      <w:r w:rsidRPr="007657CE">
        <w:t>.  </w:t>
      </w:r>
      <w:r w:rsidR="004027EF">
        <w:t xml:space="preserve">Le requérant réclame une somme pour </w:t>
      </w:r>
      <w:r w:rsidR="00025C68">
        <w:t xml:space="preserve">le </w:t>
      </w:r>
      <w:r w:rsidR="004027EF">
        <w:t>dommage moral mais il ne la chiffre pas. Il prétend que l</w:t>
      </w:r>
      <w:r w:rsidR="006608FF">
        <w:t>'</w:t>
      </w:r>
      <w:r w:rsidR="004027EF">
        <w:t>impossibilité d</w:t>
      </w:r>
      <w:r w:rsidR="006608FF">
        <w:t>'</w:t>
      </w:r>
      <w:r w:rsidR="004027EF">
        <w:t>acc</w:t>
      </w:r>
      <w:r w:rsidR="006F782A">
        <w:t>éder</w:t>
      </w:r>
      <w:r w:rsidR="004027EF">
        <w:t xml:space="preserve"> au contenu d</w:t>
      </w:r>
      <w:r w:rsidR="006F782A">
        <w:t>u</w:t>
      </w:r>
      <w:r w:rsidR="004027EF">
        <w:t xml:space="preserve"> rapport l</w:t>
      </w:r>
      <w:r w:rsidR="006608FF">
        <w:t>'</w:t>
      </w:r>
      <w:r w:rsidR="004027EF">
        <w:t>a empêché de revendiquer efficacement en justice l</w:t>
      </w:r>
      <w:r w:rsidR="006608FF">
        <w:t>'</w:t>
      </w:r>
      <w:r w:rsidR="004027EF">
        <w:t>attribution de la garde de son enfant, ce qui a eu comme conséquence de réduire au minimum les contacts entre eux. La violation de l</w:t>
      </w:r>
      <w:r w:rsidR="006608FF">
        <w:t>'</w:t>
      </w:r>
      <w:r w:rsidR="004027EF">
        <w:t xml:space="preserve">article 8 lui a causé une déception intense </w:t>
      </w:r>
      <w:r w:rsidR="006C4F8F">
        <w:t>concernant l</w:t>
      </w:r>
      <w:r w:rsidR="006608FF">
        <w:t>'</w:t>
      </w:r>
      <w:r w:rsidR="006C4F8F">
        <w:t>efficacité et la transparence de</w:t>
      </w:r>
      <w:r w:rsidR="006F782A">
        <w:t>s</w:t>
      </w:r>
      <w:r w:rsidR="006C4F8F">
        <w:t xml:space="preserve"> décisions de la justice grecque et l</w:t>
      </w:r>
      <w:r w:rsidR="006F782A">
        <w:t>ui a donné le sentiment d</w:t>
      </w:r>
      <w:r w:rsidR="006608FF">
        <w:t>'</w:t>
      </w:r>
      <w:r w:rsidR="006F782A">
        <w:t>être un</w:t>
      </w:r>
      <w:r w:rsidR="006C4F8F">
        <w:t xml:space="preserve"> citoyen de </w:t>
      </w:r>
      <w:r w:rsidR="000C564D">
        <w:t>seconde</w:t>
      </w:r>
      <w:r w:rsidR="006C4F8F">
        <w:t xml:space="preserve"> catégorie.</w:t>
      </w:r>
    </w:p>
    <w:p w:rsidR="00890254" w:rsidRDefault="006C4F8F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48</w:t>
      </w:r>
      <w:r>
        <w:fldChar w:fldCharType="end"/>
      </w:r>
      <w:r>
        <w:t>.  Le Gouvernement estime qu</w:t>
      </w:r>
      <w:r w:rsidR="006608FF">
        <w:t>'</w:t>
      </w:r>
      <w:r>
        <w:t>il n</w:t>
      </w:r>
      <w:r w:rsidR="006608FF">
        <w:t>'</w:t>
      </w:r>
      <w:r>
        <w:t>y a pas de lien de causalité entre la violation alléguée et le fait que les contacts entre le requérant et son fils se so</w:t>
      </w:r>
      <w:r w:rsidR="000C564D">
        <w:t>ie</w:t>
      </w:r>
      <w:r>
        <w:t>nt considérablement réduits.</w:t>
      </w:r>
    </w:p>
    <w:p w:rsidR="00371A6F" w:rsidRPr="0011546E" w:rsidRDefault="006C4F8F" w:rsidP="00371A6F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49</w:t>
      </w:r>
      <w:r>
        <w:fldChar w:fldCharType="end"/>
      </w:r>
      <w:r>
        <w:t>.  </w:t>
      </w:r>
      <w:r w:rsidR="00371A6F" w:rsidRPr="00826655">
        <w:t xml:space="preserve">La Cour estime que le requérant </w:t>
      </w:r>
      <w:r w:rsidR="00371A6F">
        <w:t>a</w:t>
      </w:r>
      <w:r w:rsidR="00371A6F" w:rsidRPr="00826655">
        <w:t xml:space="preserve"> subi un tort moral certain. Statuant en équité, </w:t>
      </w:r>
      <w:r w:rsidR="00371A6F">
        <w:t>comme le veut l</w:t>
      </w:r>
      <w:r w:rsidR="006608FF">
        <w:t>'</w:t>
      </w:r>
      <w:r w:rsidR="00371A6F">
        <w:t xml:space="preserve">article 41 de la Convention, </w:t>
      </w:r>
      <w:r w:rsidR="00371A6F" w:rsidRPr="00826655">
        <w:t xml:space="preserve">elle </w:t>
      </w:r>
      <w:r w:rsidR="00371A6F">
        <w:t xml:space="preserve">lui </w:t>
      </w:r>
      <w:r w:rsidR="00371A6F" w:rsidRPr="00826655">
        <w:t xml:space="preserve">accorde </w:t>
      </w:r>
      <w:r w:rsidR="00280D49">
        <w:t>5</w:t>
      </w:r>
      <w:r w:rsidR="00314427">
        <w:t> 000 </w:t>
      </w:r>
      <w:r w:rsidR="00371A6F">
        <w:t>EUR à ce titre, plus tout montant pouvant être dû à titre d</w:t>
      </w:r>
      <w:r w:rsidR="006608FF">
        <w:t>'</w:t>
      </w:r>
      <w:r w:rsidR="00371A6F">
        <w:t xml:space="preserve">impôt (voir, </w:t>
      </w:r>
      <w:r w:rsidR="00371A6F" w:rsidRPr="00371A6F">
        <w:rPr>
          <w:i/>
        </w:rPr>
        <w:t>mutatis mutandis, Kosmopoulou c. Grèce</w:t>
      </w:r>
      <w:r w:rsidR="000C564D">
        <w:t xml:space="preserve"> précité, §§ 52 et </w:t>
      </w:r>
      <w:r w:rsidR="00371A6F">
        <w:t>54).</w:t>
      </w:r>
    </w:p>
    <w:p w:rsidR="007657CE" w:rsidRPr="007657CE" w:rsidRDefault="007657CE">
      <w:pPr>
        <w:pStyle w:val="JuHA"/>
      </w:pPr>
      <w:r w:rsidRPr="007657CE">
        <w:t>B.  Frais et dépens</w:t>
      </w:r>
    </w:p>
    <w:p w:rsidR="007657CE" w:rsidRDefault="007657CE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50</w:t>
      </w:r>
      <w:r w:rsidRPr="007657CE">
        <w:fldChar w:fldCharType="end"/>
      </w:r>
      <w:r w:rsidRPr="007657CE">
        <w:t>.  </w:t>
      </w:r>
      <w:r w:rsidR="006C4F8F">
        <w:t xml:space="preserve">Le requérant réclame 7 000 euros (EUR) pour </w:t>
      </w:r>
      <w:r w:rsidR="000C564D">
        <w:t xml:space="preserve">les </w:t>
      </w:r>
      <w:r w:rsidR="006C4F8F">
        <w:t>honoraires d</w:t>
      </w:r>
      <w:r w:rsidR="006608FF">
        <w:t>'</w:t>
      </w:r>
      <w:r w:rsidR="006C4F8F">
        <w:t xml:space="preserve">avocat devant les juridictions </w:t>
      </w:r>
      <w:r w:rsidR="000F1134">
        <w:t>nationales et 10 000 EUR pour ceux qu</w:t>
      </w:r>
      <w:r w:rsidR="006608FF">
        <w:t>'</w:t>
      </w:r>
      <w:r w:rsidR="000F1134">
        <w:t>il a dû verser pour la procédure devant la Cour.</w:t>
      </w:r>
    </w:p>
    <w:p w:rsidR="000F1134" w:rsidRDefault="000F1134">
      <w:pPr>
        <w:pStyle w:val="JuPara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51</w:t>
      </w:r>
      <w:r>
        <w:fldChar w:fldCharType="end"/>
      </w:r>
      <w:r>
        <w:t>.  </w:t>
      </w:r>
      <w:r w:rsidR="009F390A">
        <w:t>Le Gouvernement trouve ces sommes exagérées et souligne que le requérant ne soumet aucun justificatif.</w:t>
      </w:r>
    </w:p>
    <w:p w:rsidR="009F6572" w:rsidRPr="0011546E" w:rsidRDefault="009F390A" w:rsidP="009F6572">
      <w:pPr>
        <w:pStyle w:val="JuParaChar1Char"/>
      </w:pPr>
      <w:r>
        <w:fldChar w:fldCharType="begin"/>
      </w:r>
      <w:r>
        <w:instrText xml:space="preserve"> SEQ level0 \*arabic </w:instrText>
      </w:r>
      <w:r>
        <w:fldChar w:fldCharType="separate"/>
      </w:r>
      <w:r w:rsidR="00B67819">
        <w:rPr>
          <w:noProof/>
        </w:rPr>
        <w:t>52</w:t>
      </w:r>
      <w:r>
        <w:fldChar w:fldCharType="end"/>
      </w:r>
      <w:r>
        <w:t>.  </w:t>
      </w:r>
      <w:r w:rsidR="009F6572">
        <w:t>L</w:t>
      </w:r>
      <w:r w:rsidR="009F6572" w:rsidRPr="003028C8">
        <w:t>a Cour note que le requérant ne produit aucune facture en ce qui concerne les frais engagés devant</w:t>
      </w:r>
      <w:r w:rsidR="009F6572">
        <w:t xml:space="preserve"> les juridictions saisies</w:t>
      </w:r>
      <w:r w:rsidR="009F6572" w:rsidRPr="003028C8">
        <w:t xml:space="preserve">. Il y a donc lieu de rejeter cette partie de </w:t>
      </w:r>
      <w:r w:rsidR="009F6572">
        <w:t xml:space="preserve">leurs </w:t>
      </w:r>
      <w:r w:rsidR="009F6572" w:rsidRPr="003028C8">
        <w:t>prétentions. En ce qui concerne les frais exposés pour les besoins de la représentation d</w:t>
      </w:r>
      <w:r w:rsidR="000C564D">
        <w:t>u</w:t>
      </w:r>
      <w:r w:rsidR="009F6572" w:rsidRPr="003028C8">
        <w:t xml:space="preserve"> requérant devant elle, la Cour observe </w:t>
      </w:r>
      <w:r w:rsidR="009F6572">
        <w:rPr>
          <w:color w:val="000000"/>
        </w:rPr>
        <w:t xml:space="preserve">que les prétentions de ce dernier ne sont ni détaillées ni accompagnées des justificatifs nécessaires. </w:t>
      </w:r>
      <w:r w:rsidR="009F6572">
        <w:t>Il convient donc d</w:t>
      </w:r>
      <w:r w:rsidR="006608FF">
        <w:t>'</w:t>
      </w:r>
      <w:r w:rsidR="009F6572">
        <w:t xml:space="preserve">écarter </w:t>
      </w:r>
      <w:r w:rsidR="000C564D">
        <w:t>sa</w:t>
      </w:r>
      <w:r w:rsidR="009F6572">
        <w:t xml:space="preserve"> demande sur ce point également.</w:t>
      </w:r>
    </w:p>
    <w:p w:rsidR="007657CE" w:rsidRPr="007657CE" w:rsidRDefault="007657CE">
      <w:pPr>
        <w:pStyle w:val="JuHA"/>
      </w:pPr>
      <w:r w:rsidRPr="007657CE">
        <w:t>C.  Intérêts moratoires</w:t>
      </w:r>
    </w:p>
    <w:p w:rsidR="009D02AC" w:rsidRPr="007657CE" w:rsidRDefault="007657CE">
      <w:pPr>
        <w:pStyle w:val="JuPara"/>
      </w:pPr>
      <w:r w:rsidRPr="007657CE">
        <w:fldChar w:fldCharType="begin"/>
      </w:r>
      <w:r w:rsidRPr="007657CE">
        <w:instrText xml:space="preserve"> SEQ level0 \*arabic </w:instrText>
      </w:r>
      <w:r w:rsidRPr="007657CE">
        <w:fldChar w:fldCharType="separate"/>
      </w:r>
      <w:r w:rsidR="00B67819">
        <w:rPr>
          <w:noProof/>
        </w:rPr>
        <w:t>53</w:t>
      </w:r>
      <w:r w:rsidRPr="007657CE">
        <w:fldChar w:fldCharType="end"/>
      </w:r>
      <w:r w:rsidRPr="007657CE">
        <w:t>.  La Cour juge approprié de calquer le taux des intérêts moratoires sur le taux d</w:t>
      </w:r>
      <w:r w:rsidR="006608FF">
        <w:t>'</w:t>
      </w:r>
      <w:r w:rsidRPr="007657CE">
        <w:t>intérêt de la facilité de prêt marginal de la Banque centrale européenne majoré de trois points de pourcentage.</w:t>
      </w:r>
    </w:p>
    <w:p w:rsidR="009D02AC" w:rsidRPr="007657CE" w:rsidRDefault="009D02AC">
      <w:pPr>
        <w:pStyle w:val="JuHHead"/>
      </w:pPr>
      <w:r w:rsidRPr="007657CE">
        <w:t>PAR CES MOTIFS, LA COUR, À L</w:t>
      </w:r>
      <w:r w:rsidR="006608FF">
        <w:t>'</w:t>
      </w:r>
      <w:r w:rsidR="00314427">
        <w:t>UNANIMITÉ,</w:t>
      </w:r>
    </w:p>
    <w:p w:rsidR="00C475EF" w:rsidRPr="007F6A3E" w:rsidRDefault="00C475EF" w:rsidP="00C475EF">
      <w:pPr>
        <w:pStyle w:val="JuList"/>
      </w:pPr>
      <w:r w:rsidRPr="007F6A3E">
        <w:t>1.  </w:t>
      </w:r>
      <w:r w:rsidRPr="007F6A3E">
        <w:rPr>
          <w:i/>
        </w:rPr>
        <w:t>Déclare</w:t>
      </w:r>
      <w:r w:rsidRPr="007F6A3E">
        <w:t xml:space="preserve"> la requête recevable</w:t>
      </w:r>
      <w:r>
        <w:t xml:space="preserve"> quant au grief tiré de l</w:t>
      </w:r>
      <w:r w:rsidR="006608FF">
        <w:t>'</w:t>
      </w:r>
      <w:r>
        <w:t>article 8 de la Convention</w:t>
      </w:r>
      <w:r w:rsidR="00132B41">
        <w:t xml:space="preserve">, en ce qui concerne le refus des autorités de lui divulguer le rapport </w:t>
      </w:r>
      <w:r w:rsidR="00B87CBA">
        <w:t>d</w:t>
      </w:r>
      <w:r w:rsidR="006608FF">
        <w:t>'</w:t>
      </w:r>
      <w:r w:rsidR="00B87CBA">
        <w:t>enquête sociale concernant les conditions de vie de son fils</w:t>
      </w:r>
      <w:r w:rsidR="00280D49">
        <w:t>, et irrecevable pour le surplus</w:t>
      </w:r>
      <w:r w:rsidRPr="007F6A3E">
        <w:t> ;</w:t>
      </w:r>
    </w:p>
    <w:p w:rsidR="00C475EF" w:rsidRDefault="00C475EF">
      <w:pPr>
        <w:pStyle w:val="JuList"/>
      </w:pPr>
    </w:p>
    <w:p w:rsidR="007657CE" w:rsidRPr="007657CE" w:rsidRDefault="00C475EF">
      <w:pPr>
        <w:pStyle w:val="JuList"/>
      </w:pPr>
      <w:r>
        <w:t>2</w:t>
      </w:r>
      <w:r w:rsidR="007657CE" w:rsidRPr="007657CE">
        <w:t>.  </w:t>
      </w:r>
      <w:r w:rsidR="007657CE" w:rsidRPr="007657CE">
        <w:rPr>
          <w:i/>
        </w:rPr>
        <w:t>Dit</w:t>
      </w:r>
      <w:r w:rsidR="007657CE" w:rsidRPr="007657CE">
        <w:t xml:space="preserve"> qu</w:t>
      </w:r>
      <w:r w:rsidR="006608FF">
        <w:t>'</w:t>
      </w:r>
      <w:r>
        <w:t>il y a</w:t>
      </w:r>
      <w:r w:rsidR="007657CE" w:rsidRPr="007657CE">
        <w:t xml:space="preserve"> eu violation de l</w:t>
      </w:r>
      <w:r w:rsidR="006608FF">
        <w:t>'</w:t>
      </w:r>
      <w:r w:rsidR="007657CE" w:rsidRPr="007657CE">
        <w:t>article</w:t>
      </w:r>
      <w:r w:rsidR="00E722D3">
        <w:t> </w:t>
      </w:r>
      <w:r>
        <w:t>8</w:t>
      </w:r>
      <w:r w:rsidR="007657CE" w:rsidRPr="007657CE">
        <w:t xml:space="preserve"> de la Convention ;</w:t>
      </w:r>
    </w:p>
    <w:p w:rsidR="007657CE" w:rsidRDefault="007657CE">
      <w:pPr>
        <w:pStyle w:val="JuList"/>
      </w:pPr>
    </w:p>
    <w:p w:rsidR="007657CE" w:rsidRPr="007657CE" w:rsidRDefault="00132B41">
      <w:pPr>
        <w:pStyle w:val="JuList"/>
      </w:pPr>
      <w:r>
        <w:t>3</w:t>
      </w:r>
      <w:r w:rsidR="007657CE" w:rsidRPr="007657CE">
        <w:t>.  </w:t>
      </w:r>
      <w:r w:rsidR="007657CE" w:rsidRPr="007657CE">
        <w:rPr>
          <w:i/>
        </w:rPr>
        <w:t>Dit</w:t>
      </w:r>
      <w:r w:rsidR="00314427">
        <w:t>,</w:t>
      </w:r>
    </w:p>
    <w:p w:rsidR="007657CE" w:rsidRPr="007657CE" w:rsidRDefault="007657CE">
      <w:pPr>
        <w:pStyle w:val="JuLista"/>
      </w:pPr>
      <w:r w:rsidRPr="007657CE">
        <w:t>a)  que l</w:t>
      </w:r>
      <w:r w:rsidR="006608FF">
        <w:t>'</w:t>
      </w:r>
      <w:r w:rsidRPr="007657CE">
        <w:t xml:space="preserve">Etat défendeur doit verser au </w:t>
      </w:r>
      <w:r w:rsidR="00893FA5">
        <w:t xml:space="preserve">requérant, dans les trois mois </w:t>
      </w:r>
      <w:r w:rsidRPr="007657CE">
        <w:t>à compter du jour où l</w:t>
      </w:r>
      <w:r w:rsidR="006608FF">
        <w:t>'</w:t>
      </w:r>
      <w:r w:rsidRPr="007657CE">
        <w:t>arrêt sera devenu définitif conformément à l</w:t>
      </w:r>
      <w:r w:rsidR="006608FF">
        <w:t>'</w:t>
      </w:r>
      <w:r w:rsidRPr="007657CE">
        <w:t>article 44 § 2 de la Convent</w:t>
      </w:r>
      <w:r w:rsidR="00893FA5">
        <w:t>ion</w:t>
      </w:r>
      <w:r w:rsidRPr="007657CE">
        <w:t xml:space="preserve">, </w:t>
      </w:r>
      <w:r w:rsidR="00280D49">
        <w:t>5 000 EUR (cinq</w:t>
      </w:r>
      <w:r w:rsidR="00893FA5">
        <w:t xml:space="preserve"> mille euros)</w:t>
      </w:r>
      <w:r w:rsidRPr="007657CE">
        <w:t>, pour</w:t>
      </w:r>
      <w:r w:rsidR="00893FA5">
        <w:t xml:space="preserve"> </w:t>
      </w:r>
      <w:r w:rsidR="00D52C33">
        <w:t xml:space="preserve">le </w:t>
      </w:r>
      <w:r w:rsidR="00893FA5">
        <w:t>dommage moral</w:t>
      </w:r>
      <w:r w:rsidRPr="007657CE">
        <w:t>,</w:t>
      </w:r>
      <w:r w:rsidR="00893FA5">
        <w:t xml:space="preserve"> </w:t>
      </w:r>
      <w:r w:rsidRPr="007657CE">
        <w:t>plus tout montant pouvant être dû à titre d</w:t>
      </w:r>
      <w:r w:rsidR="006608FF">
        <w:t>'</w:t>
      </w:r>
      <w:r w:rsidR="00893FA5">
        <w:t>impôt ;</w:t>
      </w:r>
    </w:p>
    <w:p w:rsidR="007657CE" w:rsidRPr="007657CE" w:rsidRDefault="007657CE">
      <w:pPr>
        <w:pStyle w:val="JuLista"/>
      </w:pPr>
      <w:r w:rsidRPr="007657CE">
        <w:t>b)  qu</w:t>
      </w:r>
      <w:r w:rsidR="006608FF">
        <w:t>'</w:t>
      </w:r>
      <w:r w:rsidRPr="007657CE">
        <w:t>à compter de l</w:t>
      </w:r>
      <w:r w:rsidR="006608FF">
        <w:t>'</w:t>
      </w:r>
      <w:r w:rsidRPr="007657CE">
        <w:t>expiration dudit délai et jusqu</w:t>
      </w:r>
      <w:r w:rsidR="006608FF">
        <w:t>'</w:t>
      </w:r>
      <w:r w:rsidR="00893FA5">
        <w:t>au versement, ce montant sera</w:t>
      </w:r>
      <w:r w:rsidRPr="007657CE">
        <w:t xml:space="preserve"> à majorer d</w:t>
      </w:r>
      <w:r w:rsidR="006608FF">
        <w:t>'</w:t>
      </w:r>
      <w:r w:rsidRPr="007657CE">
        <w:t>un intérêt simple à un taux égal à celui de la facilité de prêt marginal de la Banque centrale européenne applicable pendant cette période, augmenté de trois points de pourcentage ;</w:t>
      </w:r>
    </w:p>
    <w:p w:rsidR="007657CE" w:rsidRPr="007657CE" w:rsidRDefault="007657CE">
      <w:pPr>
        <w:pStyle w:val="JuLista"/>
      </w:pPr>
    </w:p>
    <w:p w:rsidR="009D02AC" w:rsidRPr="007657CE" w:rsidRDefault="00132B41">
      <w:pPr>
        <w:pStyle w:val="JuList"/>
      </w:pPr>
      <w:r>
        <w:t>4</w:t>
      </w:r>
      <w:r w:rsidR="007657CE" w:rsidRPr="007657CE">
        <w:t>.  </w:t>
      </w:r>
      <w:r w:rsidR="007657CE" w:rsidRPr="007657CE">
        <w:rPr>
          <w:i/>
        </w:rPr>
        <w:t>Rejette</w:t>
      </w:r>
      <w:r w:rsidR="007657CE" w:rsidRPr="007657CE">
        <w:t xml:space="preserve"> la demande de satisfaction équitable pour le surplus.</w:t>
      </w:r>
    </w:p>
    <w:p w:rsidR="0046448A" w:rsidRPr="007657CE" w:rsidRDefault="009D02AC" w:rsidP="0046448A">
      <w:pPr>
        <w:pStyle w:val="JuParaLast"/>
      </w:pPr>
      <w:r w:rsidRPr="007657CE">
        <w:t>Fait en français, puis communiqué par écrit le </w:t>
      </w:r>
      <w:r w:rsidR="00314427">
        <w:t>15 octobre 2009</w:t>
      </w:r>
      <w:r w:rsidR="00773BF3" w:rsidRPr="007657CE">
        <w:t>,</w:t>
      </w:r>
      <w:r w:rsidRPr="007657CE">
        <w:t xml:space="preserve"> en application de l</w:t>
      </w:r>
      <w:r w:rsidR="006608FF">
        <w:t>'</w:t>
      </w:r>
      <w:r w:rsidRPr="007657CE">
        <w:t>article 77 §§ 2 et 3 du règlement.</w:t>
      </w:r>
    </w:p>
    <w:p w:rsidR="00E03C0E" w:rsidRDefault="00E03C0E" w:rsidP="00E03C0E">
      <w:pPr>
        <w:pStyle w:val="JuSigned"/>
        <w:keepNext/>
        <w:keepLines/>
      </w:pPr>
      <w:r>
        <w:tab/>
        <w:t>André Wampach</w:t>
      </w:r>
      <w:r>
        <w:tab/>
        <w:t>Nina Vajić</w:t>
      </w:r>
      <w:r>
        <w:br/>
      </w:r>
      <w:r>
        <w:tab/>
        <w:t>Greffier adjoint</w:t>
      </w:r>
      <w:r>
        <w:tab/>
        <w:t>Présidente</w:t>
      </w:r>
    </w:p>
    <w:p w:rsidR="009D02AC" w:rsidRPr="004219E8" w:rsidRDefault="009D02AC" w:rsidP="00E03C0E">
      <w:pPr>
        <w:pStyle w:val="JuSigned"/>
        <w:keepNext/>
        <w:keepLines/>
      </w:pPr>
    </w:p>
    <w:sectPr w:rsidR="009D02AC" w:rsidRPr="004219E8" w:rsidSect="00C24014">
      <w:headerReference w:type="even" r:id="rId15"/>
      <w:headerReference w:type="default" r:id="rId16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60" w:rsidRDefault="000A6060">
      <w:r>
        <w:separator/>
      </w:r>
    </w:p>
  </w:endnote>
  <w:endnote w:type="continuationSeparator" w:id="0">
    <w:p w:rsidR="000A6060" w:rsidRDefault="000A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Default="000A60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Default="000A60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Default="000A6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60" w:rsidRDefault="000A6060">
      <w:r>
        <w:separator/>
      </w:r>
    </w:p>
  </w:footnote>
  <w:footnote w:type="continuationSeparator" w:id="0">
    <w:p w:rsidR="000A6060" w:rsidRDefault="000A6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Default="000A60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Pr="00C00F0F" w:rsidRDefault="000A6060">
    <w:pPr>
      <w:pStyle w:val="Header"/>
      <w:jc w:val="center"/>
      <w:rPr>
        <w:sz w:val="4"/>
        <w:szCs w:val="4"/>
      </w:rPr>
    </w:pPr>
    <w:r w:rsidRPr="000624BA">
      <w:rPr>
        <w:sz w:val="4"/>
        <w:szCs w:val="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.3pt;height:164.15pt">
          <v:imagedata r:id="rId1" o:title="Transp50DocHeaderBigBlack"/>
        </v:shape>
      </w:pict>
    </w:r>
  </w:p>
  <w:p w:rsidR="000A6060" w:rsidRPr="00C24014" w:rsidRDefault="000A6060" w:rsidP="00C2401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Default="000A606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Pr="00A70CD7" w:rsidRDefault="000A6060">
    <w:pPr>
      <w:pStyle w:val="JuHeader"/>
      <w:rPr>
        <w:lang w:val="en-GB"/>
      </w:rPr>
    </w:pP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B67819">
      <w:rPr>
        <w:rStyle w:val="PageNumber"/>
        <w:noProof/>
        <w:lang w:val="en-GB"/>
      </w:rPr>
      <w:t>8</w:t>
    </w:r>
    <w:r>
      <w:rPr>
        <w:rStyle w:val="PageNumber"/>
        <w:lang w:val="en-GB"/>
      </w:rPr>
      <w:fldChar w:fldCharType="end"/>
    </w:r>
    <w:r w:rsidRPr="00A70CD7">
      <w:rPr>
        <w:lang w:val="en-GB"/>
      </w:rPr>
      <w:tab/>
    </w:r>
    <w:r>
      <w:rPr>
        <w:noProof/>
        <w:lang w:val="en-GB"/>
      </w:rPr>
      <w:t>ARRÊT</w:t>
    </w:r>
    <w:r w:rsidRPr="00A70CD7">
      <w:rPr>
        <w:lang w:val="en-GB"/>
      </w:rPr>
      <w:t xml:space="preserve"> </w:t>
    </w:r>
    <w:r>
      <w:rPr>
        <w:lang w:val="en-GB"/>
      </w:rPr>
      <w:t>TSOURLAKIS c. GRÈCE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60" w:rsidRDefault="000A6060">
    <w:pPr>
      <w:pStyle w:val="JuHeader"/>
      <w:rPr>
        <w:lang w:val="en-GB"/>
      </w:rPr>
    </w:pPr>
    <w:r>
      <w:rPr>
        <w:lang w:val="en-GB"/>
      </w:rPr>
      <w:tab/>
    </w:r>
    <w:r>
      <w:rPr>
        <w:noProof/>
        <w:lang w:val="en-GB"/>
      </w:rPr>
      <w:t>ARRÊT</w:t>
    </w:r>
    <w:r w:rsidRPr="00A70CD7">
      <w:rPr>
        <w:lang w:val="en-GB"/>
      </w:rPr>
      <w:t xml:space="preserve"> </w:t>
    </w:r>
    <w:r>
      <w:rPr>
        <w:lang w:val="en-GB"/>
      </w:rPr>
      <w:t>TSOURLAKIS c. GRÈCE</w:t>
    </w:r>
    <w:r>
      <w:rPr>
        <w:lang w:val="en-GB"/>
      </w:rPr>
      <w:tab/>
    </w:r>
    <w:r>
      <w:rPr>
        <w:rStyle w:val="PageNumber"/>
        <w:lang w:val="en-GB"/>
      </w:rPr>
      <w:fldChar w:fldCharType="begin"/>
    </w:r>
    <w:r>
      <w:rPr>
        <w:rStyle w:val="PageNumber"/>
        <w:lang w:val="en-GB"/>
      </w:rPr>
      <w:instrText xml:space="preserve"> PAGE </w:instrText>
    </w:r>
    <w:r>
      <w:rPr>
        <w:rStyle w:val="PageNumber"/>
        <w:lang w:val="en-GB"/>
      </w:rPr>
      <w:fldChar w:fldCharType="separate"/>
    </w:r>
    <w:r w:rsidR="00B67819">
      <w:rPr>
        <w:rStyle w:val="PageNumber"/>
        <w:noProof/>
        <w:lang w:val="en-GB"/>
      </w:rPr>
      <w:t>8</w:t>
    </w:r>
    <w:r>
      <w:rPr>
        <w:rStyle w:val="PageNumber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activeWritingStyle w:appName="MSWord" w:lang="fr-FR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6"/>
  <w:hyphenationZone w:val="425"/>
  <w:evenAndOddHeaders/>
  <w:drawingGridHorizontalSpacing w:val="57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7CE"/>
    <w:rsid w:val="000079B4"/>
    <w:rsid w:val="00012EA1"/>
    <w:rsid w:val="00025C68"/>
    <w:rsid w:val="00032D0E"/>
    <w:rsid w:val="00037D23"/>
    <w:rsid w:val="00043B33"/>
    <w:rsid w:val="00050376"/>
    <w:rsid w:val="000578E7"/>
    <w:rsid w:val="00060220"/>
    <w:rsid w:val="000735C4"/>
    <w:rsid w:val="00073ABC"/>
    <w:rsid w:val="00085410"/>
    <w:rsid w:val="000941F1"/>
    <w:rsid w:val="000A6060"/>
    <w:rsid w:val="000B5806"/>
    <w:rsid w:val="000C3E53"/>
    <w:rsid w:val="000C564D"/>
    <w:rsid w:val="000D3008"/>
    <w:rsid w:val="000F1134"/>
    <w:rsid w:val="00115049"/>
    <w:rsid w:val="00117D42"/>
    <w:rsid w:val="00132B41"/>
    <w:rsid w:val="00132EDE"/>
    <w:rsid w:val="001407A8"/>
    <w:rsid w:val="00167D73"/>
    <w:rsid w:val="00195F06"/>
    <w:rsid w:val="001C6B6A"/>
    <w:rsid w:val="001C6D76"/>
    <w:rsid w:val="001D4025"/>
    <w:rsid w:val="001D5494"/>
    <w:rsid w:val="001F5052"/>
    <w:rsid w:val="0020295C"/>
    <w:rsid w:val="00210205"/>
    <w:rsid w:val="002151BC"/>
    <w:rsid w:val="00220ABC"/>
    <w:rsid w:val="00220EF0"/>
    <w:rsid w:val="00226EF7"/>
    <w:rsid w:val="00230B72"/>
    <w:rsid w:val="00232912"/>
    <w:rsid w:val="0023581F"/>
    <w:rsid w:val="002540FB"/>
    <w:rsid w:val="002556FF"/>
    <w:rsid w:val="0027501D"/>
    <w:rsid w:val="00280D49"/>
    <w:rsid w:val="0029032C"/>
    <w:rsid w:val="00294084"/>
    <w:rsid w:val="002A7B40"/>
    <w:rsid w:val="002E18F5"/>
    <w:rsid w:val="00310986"/>
    <w:rsid w:val="00314427"/>
    <w:rsid w:val="00320123"/>
    <w:rsid w:val="003204B2"/>
    <w:rsid w:val="003544D4"/>
    <w:rsid w:val="00371A6F"/>
    <w:rsid w:val="00371E1A"/>
    <w:rsid w:val="00383D18"/>
    <w:rsid w:val="00385D91"/>
    <w:rsid w:val="003875BF"/>
    <w:rsid w:val="003928BC"/>
    <w:rsid w:val="003956D1"/>
    <w:rsid w:val="003A4D02"/>
    <w:rsid w:val="003B6C6E"/>
    <w:rsid w:val="003D5E6E"/>
    <w:rsid w:val="003E752F"/>
    <w:rsid w:val="003F0F80"/>
    <w:rsid w:val="003F7855"/>
    <w:rsid w:val="004027EF"/>
    <w:rsid w:val="004043B3"/>
    <w:rsid w:val="00414007"/>
    <w:rsid w:val="0042017D"/>
    <w:rsid w:val="004219E8"/>
    <w:rsid w:val="00424A68"/>
    <w:rsid w:val="00432420"/>
    <w:rsid w:val="004407A2"/>
    <w:rsid w:val="004502EE"/>
    <w:rsid w:val="0046448A"/>
    <w:rsid w:val="00470967"/>
    <w:rsid w:val="00471CA6"/>
    <w:rsid w:val="00491504"/>
    <w:rsid w:val="004953B2"/>
    <w:rsid w:val="004B1527"/>
    <w:rsid w:val="004C658B"/>
    <w:rsid w:val="004E5D49"/>
    <w:rsid w:val="004E7ED9"/>
    <w:rsid w:val="004F15E8"/>
    <w:rsid w:val="00506FFB"/>
    <w:rsid w:val="00511047"/>
    <w:rsid w:val="005225F8"/>
    <w:rsid w:val="005253A0"/>
    <w:rsid w:val="0053749F"/>
    <w:rsid w:val="00541DD8"/>
    <w:rsid w:val="005607A8"/>
    <w:rsid w:val="005608DA"/>
    <w:rsid w:val="0057069D"/>
    <w:rsid w:val="00576326"/>
    <w:rsid w:val="005810E8"/>
    <w:rsid w:val="00594633"/>
    <w:rsid w:val="005A0EEF"/>
    <w:rsid w:val="005C6637"/>
    <w:rsid w:val="005D3D8E"/>
    <w:rsid w:val="005D449E"/>
    <w:rsid w:val="005D6B95"/>
    <w:rsid w:val="005E774A"/>
    <w:rsid w:val="005F43AE"/>
    <w:rsid w:val="005F6E97"/>
    <w:rsid w:val="00646C06"/>
    <w:rsid w:val="006608FF"/>
    <w:rsid w:val="00662E10"/>
    <w:rsid w:val="0067314F"/>
    <w:rsid w:val="0067619D"/>
    <w:rsid w:val="006C4F8F"/>
    <w:rsid w:val="006C60E2"/>
    <w:rsid w:val="006D0412"/>
    <w:rsid w:val="006D6971"/>
    <w:rsid w:val="006D733D"/>
    <w:rsid w:val="006F782A"/>
    <w:rsid w:val="00702EE2"/>
    <w:rsid w:val="0071534F"/>
    <w:rsid w:val="007208EF"/>
    <w:rsid w:val="00726435"/>
    <w:rsid w:val="00726AA7"/>
    <w:rsid w:val="00726CE9"/>
    <w:rsid w:val="00760E92"/>
    <w:rsid w:val="00763A57"/>
    <w:rsid w:val="00765570"/>
    <w:rsid w:val="007657CE"/>
    <w:rsid w:val="00766714"/>
    <w:rsid w:val="00770422"/>
    <w:rsid w:val="00773BF3"/>
    <w:rsid w:val="007754E0"/>
    <w:rsid w:val="0079762A"/>
    <w:rsid w:val="007D4A82"/>
    <w:rsid w:val="007D79CE"/>
    <w:rsid w:val="008056B6"/>
    <w:rsid w:val="0081082A"/>
    <w:rsid w:val="00812BB2"/>
    <w:rsid w:val="0081301F"/>
    <w:rsid w:val="00842126"/>
    <w:rsid w:val="00842B4C"/>
    <w:rsid w:val="0084427B"/>
    <w:rsid w:val="00856682"/>
    <w:rsid w:val="008615B0"/>
    <w:rsid w:val="00865264"/>
    <w:rsid w:val="008657D2"/>
    <w:rsid w:val="00866EB6"/>
    <w:rsid w:val="008677C0"/>
    <w:rsid w:val="0087180F"/>
    <w:rsid w:val="00872889"/>
    <w:rsid w:val="00876D45"/>
    <w:rsid w:val="00885AFB"/>
    <w:rsid w:val="00887D4C"/>
    <w:rsid w:val="00890254"/>
    <w:rsid w:val="00893FA5"/>
    <w:rsid w:val="008B2296"/>
    <w:rsid w:val="008D67A6"/>
    <w:rsid w:val="008E05E8"/>
    <w:rsid w:val="008E3E8B"/>
    <w:rsid w:val="008E7016"/>
    <w:rsid w:val="008F3447"/>
    <w:rsid w:val="009128C3"/>
    <w:rsid w:val="009151EB"/>
    <w:rsid w:val="00924874"/>
    <w:rsid w:val="009256DB"/>
    <w:rsid w:val="00925F47"/>
    <w:rsid w:val="00926ECD"/>
    <w:rsid w:val="009272AC"/>
    <w:rsid w:val="00936C56"/>
    <w:rsid w:val="00941092"/>
    <w:rsid w:val="00947868"/>
    <w:rsid w:val="00953841"/>
    <w:rsid w:val="009C70FF"/>
    <w:rsid w:val="009D02AC"/>
    <w:rsid w:val="009D0300"/>
    <w:rsid w:val="009D043B"/>
    <w:rsid w:val="009F23ED"/>
    <w:rsid w:val="009F390A"/>
    <w:rsid w:val="009F6572"/>
    <w:rsid w:val="00A05764"/>
    <w:rsid w:val="00A10551"/>
    <w:rsid w:val="00A15B67"/>
    <w:rsid w:val="00A2238F"/>
    <w:rsid w:val="00A37D4B"/>
    <w:rsid w:val="00A609AC"/>
    <w:rsid w:val="00A70CD7"/>
    <w:rsid w:val="00A7337E"/>
    <w:rsid w:val="00A759F2"/>
    <w:rsid w:val="00A83730"/>
    <w:rsid w:val="00AB05AF"/>
    <w:rsid w:val="00AB7963"/>
    <w:rsid w:val="00AC2990"/>
    <w:rsid w:val="00AF5B2A"/>
    <w:rsid w:val="00AF778C"/>
    <w:rsid w:val="00B11696"/>
    <w:rsid w:val="00B14D37"/>
    <w:rsid w:val="00B1646D"/>
    <w:rsid w:val="00B63581"/>
    <w:rsid w:val="00B67819"/>
    <w:rsid w:val="00B87CBA"/>
    <w:rsid w:val="00BB0A88"/>
    <w:rsid w:val="00BB4A47"/>
    <w:rsid w:val="00BC0BF0"/>
    <w:rsid w:val="00BD3E99"/>
    <w:rsid w:val="00BF3956"/>
    <w:rsid w:val="00BF5687"/>
    <w:rsid w:val="00C05C7F"/>
    <w:rsid w:val="00C06D9D"/>
    <w:rsid w:val="00C23989"/>
    <w:rsid w:val="00C24014"/>
    <w:rsid w:val="00C4624A"/>
    <w:rsid w:val="00C475EF"/>
    <w:rsid w:val="00C519AC"/>
    <w:rsid w:val="00C52091"/>
    <w:rsid w:val="00C5274B"/>
    <w:rsid w:val="00C53F80"/>
    <w:rsid w:val="00C64E8E"/>
    <w:rsid w:val="00C714D1"/>
    <w:rsid w:val="00C72014"/>
    <w:rsid w:val="00C825B5"/>
    <w:rsid w:val="00C83788"/>
    <w:rsid w:val="00CA3469"/>
    <w:rsid w:val="00CA77BD"/>
    <w:rsid w:val="00CB62FF"/>
    <w:rsid w:val="00CC393C"/>
    <w:rsid w:val="00CD2591"/>
    <w:rsid w:val="00CE1FEB"/>
    <w:rsid w:val="00CE7645"/>
    <w:rsid w:val="00CF211F"/>
    <w:rsid w:val="00D10A08"/>
    <w:rsid w:val="00D265A2"/>
    <w:rsid w:val="00D32B97"/>
    <w:rsid w:val="00D41095"/>
    <w:rsid w:val="00D42266"/>
    <w:rsid w:val="00D4674B"/>
    <w:rsid w:val="00D52C33"/>
    <w:rsid w:val="00D71051"/>
    <w:rsid w:val="00D77D13"/>
    <w:rsid w:val="00D9042B"/>
    <w:rsid w:val="00DB2064"/>
    <w:rsid w:val="00DB2D00"/>
    <w:rsid w:val="00DC5F89"/>
    <w:rsid w:val="00DD47FE"/>
    <w:rsid w:val="00DD54E8"/>
    <w:rsid w:val="00DE7DD6"/>
    <w:rsid w:val="00E03C0E"/>
    <w:rsid w:val="00E0436A"/>
    <w:rsid w:val="00E41620"/>
    <w:rsid w:val="00E42C74"/>
    <w:rsid w:val="00E450DC"/>
    <w:rsid w:val="00E5203B"/>
    <w:rsid w:val="00E524EE"/>
    <w:rsid w:val="00E53561"/>
    <w:rsid w:val="00E722D3"/>
    <w:rsid w:val="00E843A0"/>
    <w:rsid w:val="00EA055C"/>
    <w:rsid w:val="00EA25A5"/>
    <w:rsid w:val="00EB36AD"/>
    <w:rsid w:val="00EB7FB3"/>
    <w:rsid w:val="00ED1A77"/>
    <w:rsid w:val="00ED51A5"/>
    <w:rsid w:val="00ED739D"/>
    <w:rsid w:val="00EE07E6"/>
    <w:rsid w:val="00EF7A14"/>
    <w:rsid w:val="00F40EC6"/>
    <w:rsid w:val="00F4352B"/>
    <w:rsid w:val="00F43A96"/>
    <w:rsid w:val="00F440AB"/>
    <w:rsid w:val="00F4475C"/>
    <w:rsid w:val="00F5227D"/>
    <w:rsid w:val="00F54B17"/>
    <w:rsid w:val="00F61463"/>
    <w:rsid w:val="00F62233"/>
    <w:rsid w:val="00F65A0F"/>
    <w:rsid w:val="00F77F33"/>
    <w:rsid w:val="00F81863"/>
    <w:rsid w:val="00F94D8F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764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A05764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05764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05764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A05764"/>
  </w:style>
  <w:style w:type="table" w:default="1" w:styleId="TableNormal">
    <w:name w:val="Normal Table"/>
    <w:semiHidden/>
    <w:rsid w:val="00A0576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05764"/>
  </w:style>
  <w:style w:type="paragraph" w:customStyle="1" w:styleId="OpiHA">
    <w:name w:val="Opi_H_A"/>
    <w:basedOn w:val="JuHIRoman"/>
    <w:next w:val="OpiPara"/>
    <w:rsid w:val="00A05764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rsid w:val="00A05764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rsid w:val="00A05764"/>
    <w:pPr>
      <w:keepNext/>
      <w:keepLines/>
      <w:spacing w:before="720" w:after="240"/>
      <w:jc w:val="both"/>
    </w:pPr>
    <w:rPr>
      <w:sz w:val="28"/>
    </w:rPr>
  </w:style>
  <w:style w:type="paragraph" w:customStyle="1" w:styleId="JuPara">
    <w:name w:val="Ju_Para"/>
    <w:aliases w:val="Left,First line:  0 cm"/>
    <w:basedOn w:val="Normal"/>
    <w:link w:val="JuParaChar"/>
    <w:rsid w:val="00A05764"/>
    <w:pPr>
      <w:ind w:firstLine="284"/>
      <w:jc w:val="both"/>
    </w:pPr>
  </w:style>
  <w:style w:type="paragraph" w:customStyle="1" w:styleId="OpiPara">
    <w:name w:val="Opi_Para"/>
    <w:basedOn w:val="JuPara"/>
    <w:rsid w:val="00A05764"/>
  </w:style>
  <w:style w:type="paragraph" w:customStyle="1" w:styleId="OpiH1">
    <w:name w:val="Opi_H_1."/>
    <w:basedOn w:val="OpiHA"/>
    <w:next w:val="OpiPara"/>
    <w:rsid w:val="00A05764"/>
    <w:pPr>
      <w:spacing w:before="240" w:after="120"/>
      <w:ind w:left="635"/>
    </w:pPr>
    <w:rPr>
      <w:b w:val="0"/>
      <w:i/>
    </w:rPr>
  </w:style>
  <w:style w:type="paragraph" w:customStyle="1" w:styleId="OpiHa0">
    <w:name w:val="Opi_H_a"/>
    <w:basedOn w:val="OpiH1"/>
    <w:next w:val="OpiPara"/>
    <w:rsid w:val="00A05764"/>
    <w:pPr>
      <w:ind w:left="834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05764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05764"/>
    <w:pPr>
      <w:ind w:left="1038"/>
    </w:pPr>
    <w:rPr>
      <w:b w:val="0"/>
      <w:i/>
    </w:rPr>
  </w:style>
  <w:style w:type="paragraph" w:styleId="Footer">
    <w:name w:val="footer"/>
    <w:basedOn w:val="Normal"/>
    <w:rsid w:val="00A05764"/>
    <w:pPr>
      <w:tabs>
        <w:tab w:val="center" w:pos="3686"/>
        <w:tab w:val="right" w:pos="7371"/>
      </w:tabs>
    </w:pPr>
    <w:rPr>
      <w:sz w:val="18"/>
    </w:rPr>
  </w:style>
  <w:style w:type="paragraph" w:customStyle="1" w:styleId="JuJudges">
    <w:name w:val="Ju_Judges"/>
    <w:basedOn w:val="Normal"/>
    <w:rsid w:val="00A05764"/>
    <w:pPr>
      <w:tabs>
        <w:tab w:val="left" w:pos="567"/>
        <w:tab w:val="left" w:pos="1134"/>
      </w:tabs>
    </w:pPr>
  </w:style>
  <w:style w:type="character" w:styleId="Hyperlink">
    <w:name w:val="Hyperlink"/>
    <w:basedOn w:val="DefaultParagraphFont"/>
    <w:rsid w:val="007657CE"/>
    <w:rPr>
      <w:color w:val="0000FF"/>
      <w:u w:val="single"/>
    </w:rPr>
  </w:style>
  <w:style w:type="paragraph" w:customStyle="1" w:styleId="JuHA">
    <w:name w:val="Ju_H_A"/>
    <w:basedOn w:val="JuHIRoman"/>
    <w:next w:val="JuPara"/>
    <w:rsid w:val="00A05764"/>
    <w:pPr>
      <w:tabs>
        <w:tab w:val="clear" w:pos="357"/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rsid w:val="00A05764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"/>
    <w:next w:val="JuParaLast"/>
    <w:rsid w:val="003F0F80"/>
    <w:pPr>
      <w:tabs>
        <w:tab w:val="center" w:pos="1219"/>
        <w:tab w:val="center" w:pos="6379"/>
      </w:tabs>
      <w:spacing w:before="720"/>
    </w:pPr>
  </w:style>
  <w:style w:type="paragraph" w:customStyle="1" w:styleId="JuParaLast">
    <w:name w:val="Ju_Para_Last"/>
    <w:basedOn w:val="JuPara"/>
    <w:next w:val="JuPara"/>
    <w:rsid w:val="00A05764"/>
    <w:pPr>
      <w:spacing w:before="240"/>
    </w:pPr>
  </w:style>
  <w:style w:type="paragraph" w:customStyle="1" w:styleId="JuCase">
    <w:name w:val="Ju_Case"/>
    <w:basedOn w:val="JuPara"/>
    <w:next w:val="JuPara"/>
    <w:rsid w:val="00A05764"/>
    <w:rPr>
      <w:b/>
    </w:rPr>
  </w:style>
  <w:style w:type="paragraph" w:customStyle="1" w:styleId="JuList">
    <w:name w:val="Ju_List"/>
    <w:basedOn w:val="JuPara"/>
    <w:rsid w:val="00A05764"/>
    <w:pPr>
      <w:ind w:left="340" w:hanging="340"/>
    </w:pPr>
  </w:style>
  <w:style w:type="paragraph" w:customStyle="1" w:styleId="JuHArticle">
    <w:name w:val="Ju_H_Article"/>
    <w:basedOn w:val="JuHa0"/>
    <w:next w:val="JuQuot"/>
    <w:rsid w:val="00A05764"/>
    <w:pPr>
      <w:ind w:left="0" w:firstLine="0"/>
      <w:jc w:val="center"/>
    </w:pPr>
  </w:style>
  <w:style w:type="paragraph" w:customStyle="1" w:styleId="JuHa0">
    <w:name w:val="Ju_H_a"/>
    <w:basedOn w:val="JuH1"/>
    <w:next w:val="JuPara"/>
    <w:rsid w:val="00A05764"/>
    <w:pPr>
      <w:tabs>
        <w:tab w:val="clear" w:pos="731"/>
        <w:tab w:val="left" w:pos="975"/>
      </w:tabs>
      <w:ind w:left="975" w:hanging="340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A05764"/>
    <w:pPr>
      <w:tabs>
        <w:tab w:val="clear" w:pos="584"/>
        <w:tab w:val="left" w:pos="731"/>
      </w:tabs>
      <w:spacing w:before="240" w:after="120"/>
      <w:ind w:left="732" w:hanging="301"/>
    </w:pPr>
    <w:rPr>
      <w:b w:val="0"/>
      <w:i/>
    </w:rPr>
  </w:style>
  <w:style w:type="paragraph" w:customStyle="1" w:styleId="JuCourt">
    <w:name w:val="Ju_Court"/>
    <w:basedOn w:val="JuJudges"/>
    <w:rsid w:val="00A05764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rsid w:val="00A05764"/>
  </w:style>
  <w:style w:type="paragraph" w:customStyle="1" w:styleId="OpiTranslation">
    <w:name w:val="Opi_Translation"/>
    <w:basedOn w:val="OpiHHead"/>
    <w:next w:val="OpiPara"/>
    <w:rsid w:val="00A05764"/>
    <w:rPr>
      <w:sz w:val="24"/>
    </w:rPr>
  </w:style>
  <w:style w:type="paragraph" w:styleId="FootnoteText">
    <w:name w:val="footnote text"/>
    <w:basedOn w:val="Normal"/>
    <w:semiHidden/>
    <w:rsid w:val="00A05764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A05764"/>
    <w:rPr>
      <w:vertAlign w:val="superscript"/>
    </w:rPr>
  </w:style>
  <w:style w:type="paragraph" w:customStyle="1" w:styleId="JuHi">
    <w:name w:val="Ju_H_i"/>
    <w:basedOn w:val="JuHa0"/>
    <w:next w:val="JuPara"/>
    <w:rsid w:val="00A05764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rsid w:val="00A05764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basedOn w:val="DefaultParagraphFont"/>
    <w:rsid w:val="00A05764"/>
    <w:rPr>
      <w:sz w:val="18"/>
    </w:rPr>
  </w:style>
  <w:style w:type="paragraph" w:customStyle="1" w:styleId="JuH">
    <w:name w:val="Ju_H_–"/>
    <w:basedOn w:val="JuHalpha"/>
    <w:next w:val="JuPara"/>
    <w:rsid w:val="00A05764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rsid w:val="00A05764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rsid w:val="00A05764"/>
    <w:pPr>
      <w:ind w:left="346" w:firstLine="0"/>
    </w:pPr>
  </w:style>
  <w:style w:type="paragraph" w:customStyle="1" w:styleId="JuListi">
    <w:name w:val="Ju_List_i"/>
    <w:basedOn w:val="JuLista"/>
    <w:rsid w:val="00A05764"/>
    <w:pPr>
      <w:ind w:left="794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A05764"/>
    <w:pPr>
      <w:jc w:val="right"/>
    </w:pPr>
  </w:style>
  <w:style w:type="paragraph" w:customStyle="1" w:styleId="JuHeader">
    <w:name w:val="Ju_Header"/>
    <w:basedOn w:val="Header"/>
    <w:rsid w:val="00A05764"/>
  </w:style>
  <w:style w:type="paragraph" w:customStyle="1" w:styleId="DecHTitle">
    <w:name w:val="Dec_H_Title"/>
    <w:basedOn w:val="Normal"/>
    <w:rsid w:val="00A05764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sid w:val="00A05764"/>
    <w:rPr>
      <w:sz w:val="24"/>
    </w:rPr>
  </w:style>
  <w:style w:type="paragraph" w:customStyle="1" w:styleId="DecList">
    <w:name w:val="Dec_List"/>
    <w:basedOn w:val="Normal"/>
    <w:rsid w:val="00A05764"/>
    <w:pPr>
      <w:spacing w:before="240"/>
      <w:ind w:left="284"/>
      <w:jc w:val="both"/>
    </w:pPr>
  </w:style>
  <w:style w:type="paragraph" w:customStyle="1" w:styleId="SuCoverTitle1">
    <w:name w:val="Su_Cover_Title1"/>
    <w:basedOn w:val="Normal"/>
    <w:next w:val="SuCoverTitle2"/>
    <w:rsid w:val="00A05764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A05764"/>
    <w:pPr>
      <w:spacing w:before="240"/>
    </w:pPr>
    <w:rPr>
      <w:sz w:val="18"/>
    </w:rPr>
  </w:style>
  <w:style w:type="paragraph" w:customStyle="1" w:styleId="JuQuotSub">
    <w:name w:val="Ju_Quot_Sub"/>
    <w:basedOn w:val="JuQuot"/>
    <w:rsid w:val="00A05764"/>
    <w:pPr>
      <w:ind w:left="567"/>
    </w:pPr>
  </w:style>
  <w:style w:type="paragraph" w:customStyle="1" w:styleId="JuParaSub">
    <w:name w:val="Ju_Para_Sub"/>
    <w:basedOn w:val="JuPara"/>
    <w:rsid w:val="00A05764"/>
    <w:pPr>
      <w:ind w:left="284"/>
    </w:pPr>
  </w:style>
  <w:style w:type="paragraph" w:customStyle="1" w:styleId="SuPara">
    <w:name w:val="Su_Para"/>
    <w:basedOn w:val="SuKeywords"/>
    <w:rsid w:val="00A05764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A05764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A05764"/>
    <w:pPr>
      <w:spacing w:after="120"/>
    </w:pPr>
  </w:style>
  <w:style w:type="paragraph" w:customStyle="1" w:styleId="SuSubject">
    <w:name w:val="Su_Subject"/>
    <w:basedOn w:val="SuSummary"/>
    <w:rsid w:val="00A05764"/>
    <w:pPr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rsid w:val="00A05764"/>
    <w:pPr>
      <w:spacing w:after="240"/>
      <w:jc w:val="center"/>
    </w:pPr>
  </w:style>
  <w:style w:type="paragraph" w:styleId="BalloonText">
    <w:name w:val="Balloon Text"/>
    <w:basedOn w:val="Normal"/>
    <w:semiHidden/>
    <w:rsid w:val="00A70CD7"/>
    <w:rPr>
      <w:rFonts w:ascii="Tahoma" w:hAnsi="Tahoma" w:cs="Tahoma"/>
      <w:sz w:val="16"/>
      <w:szCs w:val="16"/>
    </w:rPr>
  </w:style>
  <w:style w:type="paragraph" w:customStyle="1" w:styleId="PJuPara">
    <w:name w:val="P_Ju_Para"/>
    <w:basedOn w:val="Normal"/>
    <w:rsid w:val="00A05764"/>
    <w:pPr>
      <w:ind w:firstLine="284"/>
      <w:jc w:val="both"/>
    </w:pPr>
  </w:style>
  <w:style w:type="paragraph" w:customStyle="1" w:styleId="PJuQuot">
    <w:name w:val="P_Ju_Quot"/>
    <w:basedOn w:val="Normal"/>
    <w:rsid w:val="00A05764"/>
    <w:pPr>
      <w:spacing w:before="120" w:after="120"/>
      <w:ind w:left="403" w:firstLine="176"/>
      <w:jc w:val="both"/>
    </w:pPr>
    <w:rPr>
      <w:sz w:val="20"/>
    </w:rPr>
  </w:style>
  <w:style w:type="paragraph" w:customStyle="1" w:styleId="PListArticleSubject">
    <w:name w:val="P_List_ArticleSubject"/>
    <w:basedOn w:val="Normal"/>
    <w:rsid w:val="00A05764"/>
    <w:pPr>
      <w:tabs>
        <w:tab w:val="left" w:pos="2977"/>
      </w:tabs>
      <w:ind w:left="2977" w:hanging="2977"/>
    </w:pPr>
  </w:style>
  <w:style w:type="paragraph" w:customStyle="1" w:styleId="PListCaseNo">
    <w:name w:val="P_List_CaseNo"/>
    <w:basedOn w:val="Normal"/>
    <w:rsid w:val="00A05764"/>
    <w:pPr>
      <w:tabs>
        <w:tab w:val="left" w:pos="1276"/>
      </w:tabs>
      <w:spacing w:line="288" w:lineRule="auto"/>
      <w:ind w:left="1276" w:hanging="1276"/>
    </w:pPr>
  </w:style>
  <w:style w:type="paragraph" w:customStyle="1" w:styleId="PListCases">
    <w:name w:val="P_List_Cases"/>
    <w:basedOn w:val="Normal"/>
    <w:rsid w:val="00A05764"/>
    <w:pPr>
      <w:spacing w:line="288" w:lineRule="auto"/>
    </w:pPr>
  </w:style>
  <w:style w:type="paragraph" w:customStyle="1" w:styleId="PTextIntro">
    <w:name w:val="P_Text_Intro"/>
    <w:basedOn w:val="Normal"/>
    <w:rsid w:val="00A05764"/>
    <w:pPr>
      <w:jc w:val="both"/>
    </w:pPr>
    <w:rPr>
      <w:i/>
      <w:sz w:val="20"/>
    </w:rPr>
  </w:style>
  <w:style w:type="paragraph" w:customStyle="1" w:styleId="PTitleCover">
    <w:name w:val="P_Title_Cover"/>
    <w:basedOn w:val="Normal"/>
    <w:rsid w:val="00A05764"/>
    <w:pPr>
      <w:spacing w:before="2500"/>
      <w:jc w:val="center"/>
    </w:pPr>
    <w:rPr>
      <w:b/>
      <w:smallCaps/>
      <w:sz w:val="30"/>
    </w:rPr>
  </w:style>
  <w:style w:type="paragraph" w:customStyle="1" w:styleId="PTitle1Alpha">
    <w:name w:val="P_Title1_Alpha"/>
    <w:basedOn w:val="Normal"/>
    <w:next w:val="Normal"/>
    <w:rsid w:val="00A05764"/>
    <w:pPr>
      <w:spacing w:after="120"/>
      <w:jc w:val="center"/>
    </w:pPr>
    <w:rPr>
      <w:b/>
      <w:smallCaps/>
      <w:sz w:val="30"/>
    </w:rPr>
  </w:style>
  <w:style w:type="paragraph" w:customStyle="1" w:styleId="PTitle1IndexArticle">
    <w:name w:val="P_Title1_IndexArticle"/>
    <w:basedOn w:val="Normal"/>
    <w:rsid w:val="00A05764"/>
    <w:pPr>
      <w:spacing w:after="120"/>
      <w:jc w:val="center"/>
    </w:pPr>
    <w:rPr>
      <w:b/>
      <w:smallCaps/>
      <w:sz w:val="30"/>
    </w:rPr>
  </w:style>
  <w:style w:type="paragraph" w:customStyle="1" w:styleId="PTitle1IndexKey">
    <w:name w:val="P_Title1_IndexKey"/>
    <w:basedOn w:val="Normal"/>
    <w:rsid w:val="00A05764"/>
    <w:pPr>
      <w:spacing w:after="600"/>
      <w:jc w:val="center"/>
    </w:pPr>
    <w:rPr>
      <w:b/>
      <w:smallCaps/>
      <w:sz w:val="30"/>
      <w:lang w:val="en-GB"/>
    </w:rPr>
  </w:style>
  <w:style w:type="paragraph" w:customStyle="1" w:styleId="PTitle1Num">
    <w:name w:val="P_Title1_Num"/>
    <w:basedOn w:val="Normal"/>
    <w:next w:val="PListCaseNo"/>
    <w:rsid w:val="00A05764"/>
    <w:pPr>
      <w:spacing w:after="720"/>
      <w:jc w:val="center"/>
    </w:pPr>
    <w:rPr>
      <w:b/>
      <w:smallCaps/>
      <w:sz w:val="30"/>
    </w:rPr>
  </w:style>
  <w:style w:type="paragraph" w:customStyle="1" w:styleId="PTitle2Country">
    <w:name w:val="P_Title2_Country"/>
    <w:basedOn w:val="Normal"/>
    <w:next w:val="PListCases"/>
    <w:rsid w:val="00A05764"/>
    <w:pPr>
      <w:keepNext/>
      <w:keepLines/>
      <w:spacing w:before="600" w:after="360"/>
    </w:pPr>
    <w:rPr>
      <w:b/>
    </w:rPr>
  </w:style>
  <w:style w:type="paragraph" w:customStyle="1" w:styleId="PTitle2Letters">
    <w:name w:val="P_Title2_Letters"/>
    <w:basedOn w:val="Normal"/>
    <w:next w:val="PListCases"/>
    <w:rsid w:val="00A05764"/>
    <w:pPr>
      <w:keepNext/>
      <w:keepLines/>
      <w:spacing w:before="600" w:after="360"/>
    </w:pPr>
    <w:rPr>
      <w:b/>
      <w:sz w:val="28"/>
    </w:rPr>
  </w:style>
  <w:style w:type="paragraph" w:customStyle="1" w:styleId="PTitle2Part">
    <w:name w:val="P_Title2_Part"/>
    <w:basedOn w:val="Normal"/>
    <w:rsid w:val="00A05764"/>
    <w:pPr>
      <w:keepNext/>
      <w:keepLines/>
      <w:spacing w:before="600" w:after="240"/>
      <w:jc w:val="center"/>
    </w:pPr>
    <w:rPr>
      <w:b/>
      <w:caps/>
    </w:rPr>
  </w:style>
  <w:style w:type="paragraph" w:customStyle="1" w:styleId="PTitle3Article">
    <w:name w:val="P_Title3_Article"/>
    <w:basedOn w:val="Normal"/>
    <w:rsid w:val="00A05764"/>
    <w:pPr>
      <w:keepNext/>
      <w:keepLines/>
      <w:spacing w:before="360" w:after="120"/>
      <w:jc w:val="center"/>
    </w:pPr>
    <w:rPr>
      <w:b/>
      <w:smallCaps/>
      <w:sz w:val="22"/>
    </w:rPr>
  </w:style>
  <w:style w:type="paragraph" w:customStyle="1" w:styleId="PTitle4ArticleSub">
    <w:name w:val="P_Title4_Article_Sub"/>
    <w:basedOn w:val="PTitle3Article"/>
    <w:rsid w:val="00A05764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A05764"/>
    <w:pPr>
      <w:keepNext/>
      <w:keepLines/>
      <w:spacing w:before="240" w:after="120"/>
      <w:jc w:val="both"/>
    </w:pPr>
    <w:rPr>
      <w:b/>
      <w:i/>
    </w:rPr>
  </w:style>
  <w:style w:type="paragraph" w:customStyle="1" w:styleId="PTitle6SubjectSub">
    <w:name w:val="P_Title6_Subject_Sub"/>
    <w:basedOn w:val="Normal"/>
    <w:rsid w:val="00A05764"/>
    <w:pPr>
      <w:keepNext/>
      <w:keepLines/>
      <w:spacing w:before="240" w:after="120"/>
      <w:ind w:left="284"/>
      <w:jc w:val="both"/>
    </w:pPr>
    <w:rPr>
      <w:b/>
      <w:sz w:val="20"/>
    </w:rPr>
  </w:style>
  <w:style w:type="paragraph" w:customStyle="1" w:styleId="PTitle7CaseName">
    <w:name w:val="P_Title7_CaseName"/>
    <w:basedOn w:val="Normal"/>
    <w:rsid w:val="00A05764"/>
    <w:pPr>
      <w:keepLines/>
      <w:spacing w:after="240"/>
      <w:jc w:val="right"/>
    </w:pPr>
    <w:rPr>
      <w:sz w:val="22"/>
    </w:rPr>
  </w:style>
  <w:style w:type="paragraph" w:customStyle="1" w:styleId="OpiParaSub">
    <w:name w:val="Opi_Para_Sub"/>
    <w:basedOn w:val="JuParaSub"/>
    <w:rsid w:val="00A05764"/>
  </w:style>
  <w:style w:type="paragraph" w:customStyle="1" w:styleId="OpiQuotSub">
    <w:name w:val="Opi_Quot_Sub"/>
    <w:basedOn w:val="JuQuotSub"/>
    <w:rsid w:val="00A05764"/>
  </w:style>
  <w:style w:type="paragraph" w:styleId="CommentSubject">
    <w:name w:val="annotation subject"/>
    <w:basedOn w:val="CommentText"/>
    <w:next w:val="CommentText"/>
    <w:semiHidden/>
    <w:rsid w:val="00F94D8F"/>
    <w:rPr>
      <w:b/>
      <w:bCs/>
    </w:rPr>
  </w:style>
  <w:style w:type="character" w:customStyle="1" w:styleId="JuParaChar">
    <w:name w:val="Ju_Para Char"/>
    <w:basedOn w:val="DefaultParagraphFont"/>
    <w:link w:val="JuPara"/>
    <w:rsid w:val="00424A68"/>
    <w:rPr>
      <w:sz w:val="24"/>
      <w:lang w:val="fr-FR" w:eastAsia="fr-FR" w:bidi="ar-SA"/>
    </w:rPr>
  </w:style>
  <w:style w:type="character" w:styleId="Strong">
    <w:name w:val="Strong"/>
    <w:basedOn w:val="DefaultParagraphFont"/>
    <w:qFormat/>
    <w:rsid w:val="0067314F"/>
    <w:rPr>
      <w:b/>
      <w:bCs/>
    </w:rPr>
  </w:style>
  <w:style w:type="character" w:customStyle="1" w:styleId="JuParaCar">
    <w:name w:val="Ju_Para Car"/>
    <w:basedOn w:val="DefaultParagraphFont"/>
    <w:rsid w:val="003E752F"/>
    <w:rPr>
      <w:sz w:val="24"/>
      <w:lang w:val="fr-FR" w:eastAsia="fr-FR" w:bidi="ar-SA"/>
    </w:rPr>
  </w:style>
  <w:style w:type="paragraph" w:customStyle="1" w:styleId="JuParaChar1Char">
    <w:name w:val="Ju_Para Char1 Char"/>
    <w:basedOn w:val="Normal"/>
    <w:link w:val="JuParaChar1CharChar"/>
    <w:rsid w:val="009F6572"/>
    <w:pPr>
      <w:ind w:firstLine="284"/>
      <w:jc w:val="both"/>
    </w:pPr>
    <w:rPr>
      <w:lang w:eastAsia="en-US"/>
    </w:rPr>
  </w:style>
  <w:style w:type="character" w:customStyle="1" w:styleId="JuParaChar1CharChar">
    <w:name w:val="Ju_Para Char1 Char Char"/>
    <w:basedOn w:val="DefaultParagraphFont"/>
    <w:link w:val="JuParaChar1Char"/>
    <w:rsid w:val="009F6572"/>
    <w:rPr>
      <w:sz w:val="24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11A60-1F59-42D8-8949-B4C6C35F3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5945F2-74A4-40D6-B39C-97D8A77BF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4223</Words>
  <Characters>24076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28243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keywords/>
  <cp:lastModifiedBy/>
  <cp:revision>5</cp:revision>
  <cp:lastPrinted>2009-09-30T06:38:00Z</cp:lastPrinted>
  <dcterms:created xsi:type="dcterms:W3CDTF">2012-06-12T20:22:00Z</dcterms:created>
  <dcterms:modified xsi:type="dcterms:W3CDTF">2012-06-12T20:22:00Z</dcterms:modified>
  <cp:category>ECHR Template</cp:category>
</cp:coreProperties>
</file>