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27" w:rsidRPr="00D23690" w:rsidRDefault="00EC6427" w:rsidP="0068104D">
      <w:pPr>
        <w:jc w:val="center"/>
        <w:rPr>
          <w:lang w:val="fr-FR"/>
        </w:rPr>
      </w:pPr>
      <w:bookmarkStart w:id="0" w:name="_GoBack"/>
      <w:bookmarkEnd w:id="0"/>
    </w:p>
    <w:p w:rsidR="00D23690" w:rsidRPr="00D23690" w:rsidRDefault="00D23690" w:rsidP="0068104D">
      <w:pPr>
        <w:jc w:val="center"/>
        <w:rPr>
          <w:lang w:val="fr-FR"/>
        </w:rPr>
      </w:pPr>
    </w:p>
    <w:p w:rsidR="00D23690" w:rsidRPr="00D23690" w:rsidRDefault="00D23690" w:rsidP="0068104D">
      <w:pPr>
        <w:jc w:val="center"/>
        <w:rPr>
          <w:lang w:val="fr-FR"/>
        </w:rPr>
      </w:pPr>
    </w:p>
    <w:p w:rsidR="00EC6427" w:rsidRPr="00D23690" w:rsidRDefault="00430622" w:rsidP="0068104D">
      <w:pPr>
        <w:jc w:val="center"/>
        <w:rPr>
          <w:lang w:val="fr-FR"/>
        </w:rPr>
      </w:pPr>
      <w:r w:rsidRPr="00D23690">
        <w:rPr>
          <w:lang w:val="fr-FR"/>
        </w:rPr>
        <w:t>PREMIÈRE SECTION</w:t>
      </w:r>
    </w:p>
    <w:p w:rsidR="00EC6427" w:rsidRPr="00D23690" w:rsidRDefault="00EC6427" w:rsidP="0068104D">
      <w:pPr>
        <w:jc w:val="center"/>
        <w:rPr>
          <w:lang w:val="fr-FR"/>
        </w:rPr>
      </w:pPr>
    </w:p>
    <w:p w:rsidR="00D23690" w:rsidRPr="00D23690" w:rsidRDefault="00D23690" w:rsidP="0068104D">
      <w:pPr>
        <w:jc w:val="center"/>
        <w:rPr>
          <w:lang w:val="fr-FR"/>
        </w:rPr>
      </w:pPr>
    </w:p>
    <w:p w:rsidR="00D23690" w:rsidRPr="00D23690" w:rsidRDefault="00D23690" w:rsidP="0068104D">
      <w:pPr>
        <w:jc w:val="center"/>
        <w:rPr>
          <w:lang w:val="fr-FR"/>
        </w:rPr>
      </w:pPr>
    </w:p>
    <w:p w:rsidR="00D23690" w:rsidRPr="00D23690" w:rsidRDefault="00D23690" w:rsidP="0068104D">
      <w:pPr>
        <w:jc w:val="center"/>
        <w:rPr>
          <w:lang w:val="fr-FR"/>
        </w:rPr>
      </w:pPr>
    </w:p>
    <w:p w:rsidR="00D23690" w:rsidRPr="00D23690" w:rsidRDefault="00D23690" w:rsidP="0068104D">
      <w:pPr>
        <w:jc w:val="center"/>
        <w:rPr>
          <w:lang w:val="fr-FR"/>
        </w:rPr>
      </w:pPr>
    </w:p>
    <w:p w:rsidR="00D23690" w:rsidRDefault="00D23690" w:rsidP="0068104D">
      <w:pPr>
        <w:jc w:val="center"/>
        <w:rPr>
          <w:lang w:val="fr-FR"/>
        </w:rPr>
      </w:pPr>
    </w:p>
    <w:p w:rsidR="00886CF1" w:rsidRPr="00D23690" w:rsidRDefault="00886CF1" w:rsidP="0068104D">
      <w:pPr>
        <w:jc w:val="center"/>
        <w:rPr>
          <w:lang w:val="fr-FR"/>
        </w:rPr>
      </w:pPr>
    </w:p>
    <w:p w:rsidR="00EC6427" w:rsidRPr="00D23690" w:rsidRDefault="00EC6427" w:rsidP="0068104D">
      <w:pPr>
        <w:jc w:val="center"/>
        <w:rPr>
          <w:b/>
          <w:lang w:val="fr-FR"/>
        </w:rPr>
      </w:pPr>
      <w:bookmarkStart w:id="1" w:name="To"/>
      <w:r w:rsidRPr="00D23690">
        <w:rPr>
          <w:b/>
          <w:lang w:val="fr-FR"/>
        </w:rPr>
        <w:t xml:space="preserve">AFFAIRE </w:t>
      </w:r>
      <w:bookmarkEnd w:id="1"/>
      <w:r w:rsidR="00430622" w:rsidRPr="00D23690">
        <w:rPr>
          <w:b/>
          <w:lang w:val="fr-FR"/>
        </w:rPr>
        <w:t>MEMLIKA c. GRÈCE</w:t>
      </w:r>
    </w:p>
    <w:p w:rsidR="00EC6427" w:rsidRPr="00D23690" w:rsidRDefault="00EC6427" w:rsidP="0068104D">
      <w:pPr>
        <w:jc w:val="center"/>
        <w:rPr>
          <w:lang w:val="fr-FR"/>
        </w:rPr>
      </w:pPr>
    </w:p>
    <w:p w:rsidR="00D23690" w:rsidRPr="00D23690" w:rsidRDefault="00EC6427" w:rsidP="0068104D">
      <w:pPr>
        <w:jc w:val="center"/>
        <w:rPr>
          <w:szCs w:val="24"/>
          <w:lang w:val="fr-FR"/>
        </w:rPr>
      </w:pPr>
      <w:r w:rsidRPr="00D23690">
        <w:rPr>
          <w:i/>
          <w:lang w:val="fr-FR"/>
        </w:rPr>
        <w:t>(</w:t>
      </w:r>
      <w:r w:rsidR="00430622" w:rsidRPr="00D23690">
        <w:rPr>
          <w:i/>
          <w:lang w:val="fr-FR"/>
        </w:rPr>
        <w:t>Requête n</w:t>
      </w:r>
      <w:r w:rsidR="00430622" w:rsidRPr="00D23690">
        <w:rPr>
          <w:i/>
          <w:vertAlign w:val="superscript"/>
          <w:lang w:val="fr-FR"/>
        </w:rPr>
        <w:t>o</w:t>
      </w:r>
      <w:r w:rsidR="00430622" w:rsidRPr="00D23690">
        <w:rPr>
          <w:i/>
          <w:lang w:val="fr-FR"/>
        </w:rPr>
        <w:t xml:space="preserve"> 37991/12</w:t>
      </w:r>
      <w:r w:rsidRPr="00D23690">
        <w:rPr>
          <w:i/>
          <w:lang w:val="fr-FR"/>
        </w:rPr>
        <w:t>)</w:t>
      </w:r>
    </w:p>
    <w:p w:rsidR="00D23690" w:rsidRPr="00D23690" w:rsidRDefault="00D23690" w:rsidP="0068104D">
      <w:pPr>
        <w:jc w:val="center"/>
        <w:rPr>
          <w:szCs w:val="24"/>
          <w:u w:val="single"/>
          <w:lang w:val="fr-FR"/>
        </w:rPr>
      </w:pPr>
    </w:p>
    <w:p w:rsidR="00D23690" w:rsidRPr="00D23690" w:rsidRDefault="00D23690" w:rsidP="0068104D">
      <w:pPr>
        <w:jc w:val="center"/>
        <w:rPr>
          <w:szCs w:val="24"/>
          <w:u w:val="single"/>
          <w:lang w:val="fr-FR"/>
        </w:rPr>
      </w:pPr>
    </w:p>
    <w:p w:rsidR="00D23690" w:rsidRPr="00D23690" w:rsidRDefault="00D23690" w:rsidP="0068104D">
      <w:pPr>
        <w:jc w:val="center"/>
        <w:rPr>
          <w:szCs w:val="24"/>
          <w:u w:val="single"/>
          <w:lang w:val="fr-FR"/>
        </w:rPr>
      </w:pPr>
    </w:p>
    <w:p w:rsidR="00D23690" w:rsidRPr="00D23690" w:rsidRDefault="00D23690" w:rsidP="0068104D">
      <w:pPr>
        <w:jc w:val="center"/>
        <w:rPr>
          <w:szCs w:val="24"/>
          <w:u w:val="single"/>
          <w:lang w:val="fr-FR"/>
        </w:rPr>
      </w:pPr>
    </w:p>
    <w:p w:rsidR="00D23690" w:rsidRPr="00D23690" w:rsidRDefault="00D23690" w:rsidP="0068104D">
      <w:pPr>
        <w:jc w:val="center"/>
        <w:rPr>
          <w:szCs w:val="24"/>
          <w:u w:val="single"/>
          <w:lang w:val="fr-FR"/>
        </w:rPr>
      </w:pPr>
    </w:p>
    <w:p w:rsidR="00D23690" w:rsidRPr="00D23690" w:rsidRDefault="00D23690" w:rsidP="0068104D">
      <w:pPr>
        <w:jc w:val="center"/>
        <w:rPr>
          <w:szCs w:val="24"/>
          <w:u w:val="single"/>
          <w:lang w:val="fr-FR"/>
        </w:rPr>
      </w:pPr>
    </w:p>
    <w:p w:rsidR="00D23690" w:rsidRPr="00D23690" w:rsidRDefault="00D23690" w:rsidP="0068104D">
      <w:pPr>
        <w:jc w:val="center"/>
        <w:rPr>
          <w:szCs w:val="24"/>
          <w:u w:val="single"/>
          <w:lang w:val="fr-FR"/>
        </w:rPr>
      </w:pPr>
    </w:p>
    <w:p w:rsidR="00D23690" w:rsidRPr="00D23690" w:rsidRDefault="00D23690" w:rsidP="0068104D">
      <w:pPr>
        <w:jc w:val="center"/>
        <w:rPr>
          <w:szCs w:val="24"/>
          <w:u w:val="single"/>
          <w:lang w:val="fr-FR"/>
        </w:rPr>
      </w:pPr>
    </w:p>
    <w:p w:rsidR="00D23690" w:rsidRDefault="00D23690" w:rsidP="0068104D">
      <w:pPr>
        <w:jc w:val="center"/>
        <w:rPr>
          <w:szCs w:val="24"/>
          <w:u w:val="single"/>
          <w:lang w:val="fr-FR"/>
        </w:rPr>
      </w:pPr>
    </w:p>
    <w:p w:rsidR="00886CF1" w:rsidRPr="00D23690" w:rsidRDefault="00886CF1" w:rsidP="0068104D">
      <w:pPr>
        <w:jc w:val="center"/>
        <w:rPr>
          <w:szCs w:val="24"/>
          <w:u w:val="single"/>
          <w:lang w:val="fr-FR"/>
        </w:rPr>
      </w:pPr>
    </w:p>
    <w:p w:rsidR="00D23690" w:rsidRDefault="00D23690" w:rsidP="00886CF1">
      <w:pPr>
        <w:jc w:val="center"/>
        <w:rPr>
          <w:szCs w:val="24"/>
          <w:lang w:val="fr-FR"/>
        </w:rPr>
      </w:pPr>
      <w:r w:rsidRPr="00D23690">
        <w:rPr>
          <w:szCs w:val="24"/>
          <w:lang w:val="fr-FR"/>
        </w:rPr>
        <w:t>ARRÊT</w:t>
      </w:r>
    </w:p>
    <w:p w:rsidR="00886CF1" w:rsidRDefault="00886CF1" w:rsidP="00886CF1">
      <w:pPr>
        <w:jc w:val="center"/>
        <w:rPr>
          <w:szCs w:val="24"/>
          <w:lang w:val="fr-FR"/>
        </w:rPr>
      </w:pPr>
    </w:p>
    <w:p w:rsidR="00886CF1" w:rsidRPr="00886CF1" w:rsidRDefault="00886CF1" w:rsidP="00886CF1">
      <w:pPr>
        <w:jc w:val="center"/>
        <w:rPr>
          <w:szCs w:val="24"/>
          <w:lang w:val="fr-FR"/>
        </w:rPr>
      </w:pPr>
    </w:p>
    <w:p w:rsidR="00D23690" w:rsidRPr="00D23690" w:rsidRDefault="00D23690" w:rsidP="00886CF1">
      <w:pPr>
        <w:pStyle w:val="ECHRPara"/>
        <w:ind w:firstLine="0"/>
        <w:jc w:val="center"/>
        <w:rPr>
          <w:lang w:eastAsia="en-US"/>
        </w:rPr>
      </w:pPr>
      <w:r w:rsidRPr="00D23690">
        <w:rPr>
          <w:lang w:eastAsia="en-US"/>
        </w:rPr>
        <w:t>STRASBOURG</w:t>
      </w:r>
    </w:p>
    <w:p w:rsidR="00D23690" w:rsidRPr="00D23690" w:rsidRDefault="00D23690" w:rsidP="00886CF1">
      <w:pPr>
        <w:pStyle w:val="ECHRPara"/>
        <w:ind w:firstLine="0"/>
        <w:jc w:val="center"/>
        <w:rPr>
          <w:lang w:eastAsia="en-US"/>
        </w:rPr>
      </w:pPr>
    </w:p>
    <w:p w:rsidR="00D23690" w:rsidRPr="00D23690" w:rsidRDefault="00D23690" w:rsidP="00886CF1">
      <w:pPr>
        <w:pStyle w:val="ECHRPara"/>
        <w:ind w:firstLine="0"/>
        <w:jc w:val="center"/>
        <w:rPr>
          <w:lang w:eastAsia="en-US"/>
        </w:rPr>
      </w:pPr>
      <w:r w:rsidRPr="00D23690">
        <w:rPr>
          <w:lang w:eastAsia="en-US"/>
        </w:rPr>
        <w:t>6 octobre 2015</w:t>
      </w:r>
    </w:p>
    <w:p w:rsidR="00D23690" w:rsidRDefault="00D23690" w:rsidP="00886CF1">
      <w:pPr>
        <w:pStyle w:val="ECHRPara"/>
        <w:ind w:firstLine="0"/>
        <w:jc w:val="center"/>
        <w:rPr>
          <w:lang w:eastAsia="en-US"/>
        </w:rPr>
      </w:pPr>
    </w:p>
    <w:p w:rsidR="00886CF1" w:rsidRDefault="00886CF1" w:rsidP="00886CF1">
      <w:pPr>
        <w:pStyle w:val="ECHRPara"/>
        <w:ind w:firstLine="0"/>
        <w:jc w:val="center"/>
        <w:rPr>
          <w:lang w:eastAsia="en-US"/>
        </w:rPr>
      </w:pPr>
    </w:p>
    <w:p w:rsidR="00886CF1" w:rsidRDefault="00886CF1" w:rsidP="00886CF1">
      <w:pPr>
        <w:pStyle w:val="ECHRPara"/>
        <w:ind w:firstLine="0"/>
        <w:jc w:val="center"/>
        <w:rPr>
          <w:lang w:eastAsia="en-US"/>
        </w:rPr>
      </w:pPr>
    </w:p>
    <w:p w:rsidR="00886CF1" w:rsidRPr="00D23690" w:rsidRDefault="00886CF1" w:rsidP="00886CF1">
      <w:pPr>
        <w:pStyle w:val="ECHRPara"/>
        <w:ind w:firstLine="0"/>
        <w:jc w:val="center"/>
        <w:rPr>
          <w:lang w:eastAsia="en-US"/>
        </w:rPr>
      </w:pPr>
    </w:p>
    <w:p w:rsidR="00D23690" w:rsidRPr="00D23690" w:rsidRDefault="00D23690" w:rsidP="00D23690">
      <w:pPr>
        <w:pStyle w:val="ECHRPara"/>
        <w:jc w:val="center"/>
        <w:rPr>
          <w:lang w:eastAsia="en-US"/>
        </w:rPr>
      </w:pPr>
    </w:p>
    <w:p w:rsidR="00D23690" w:rsidRPr="00D23690" w:rsidRDefault="00D23690" w:rsidP="00D23690">
      <w:pPr>
        <w:pStyle w:val="ECHRPara"/>
        <w:ind w:firstLine="0"/>
        <w:rPr>
          <w:i/>
          <w:sz w:val="22"/>
          <w:lang w:eastAsia="en-US"/>
        </w:rPr>
      </w:pPr>
      <w:r w:rsidRPr="00D23690">
        <w:rPr>
          <w:i/>
          <w:sz w:val="22"/>
          <w:lang w:eastAsia="en-US"/>
        </w:rPr>
        <w:t>Cet arrêt deviendra définitif dans les conditions définies à l</w:t>
      </w:r>
      <w:r w:rsidR="00F72410">
        <w:rPr>
          <w:i/>
          <w:sz w:val="22"/>
          <w:lang w:eastAsia="en-US"/>
        </w:rPr>
        <w:t>’</w:t>
      </w:r>
      <w:r w:rsidRPr="00D23690">
        <w:rPr>
          <w:i/>
          <w:sz w:val="22"/>
          <w:lang w:eastAsia="en-US"/>
        </w:rPr>
        <w:t>article 44 § 2 de la Convention. Il peut subir des retouches de forme.</w:t>
      </w:r>
    </w:p>
    <w:p w:rsidR="00D23690" w:rsidRPr="00D23690" w:rsidRDefault="00D23690" w:rsidP="00D23690">
      <w:pPr>
        <w:pStyle w:val="ECHRPara"/>
        <w:ind w:firstLine="0"/>
        <w:rPr>
          <w:lang w:eastAsia="en-US"/>
        </w:rPr>
        <w:sectPr w:rsidR="00D23690" w:rsidRPr="00D23690" w:rsidSect="00D23690">
          <w:headerReference w:type="even" r:id="rId8"/>
          <w:headerReference w:type="default" r:id="rId9"/>
          <w:footerReference w:type="even" r:id="rId10"/>
          <w:footerReference w:type="default" r:id="rId11"/>
          <w:headerReference w:type="first" r:id="rId12"/>
          <w:footerReference w:type="first" r:id="rId13"/>
          <w:pgSz w:w="11906" w:h="16838" w:code="9"/>
          <w:pgMar w:top="2274" w:right="2274" w:bottom="2274" w:left="2274" w:header="1701" w:footer="720" w:gutter="0"/>
          <w:pgNumType w:start="1"/>
          <w:cols w:space="720"/>
          <w:titlePg/>
          <w:docGrid w:linePitch="326"/>
        </w:sectPr>
      </w:pPr>
    </w:p>
    <w:p w:rsidR="00EC6427" w:rsidRPr="00D23690" w:rsidRDefault="00EC6427" w:rsidP="0068104D">
      <w:pPr>
        <w:pStyle w:val="JuCase"/>
        <w:rPr>
          <w:lang w:val="fr-FR"/>
        </w:rPr>
      </w:pPr>
      <w:r w:rsidRPr="00D23690">
        <w:rPr>
          <w:lang w:val="fr-FR"/>
        </w:rPr>
        <w:t>En l</w:t>
      </w:r>
      <w:r w:rsidR="00F72410">
        <w:rPr>
          <w:lang w:val="fr-FR"/>
        </w:rPr>
        <w:t>’</w:t>
      </w:r>
      <w:r w:rsidRPr="00D23690">
        <w:rPr>
          <w:lang w:val="fr-FR"/>
        </w:rPr>
        <w:t xml:space="preserve">affaire </w:t>
      </w:r>
      <w:r w:rsidR="00430622" w:rsidRPr="00D23690">
        <w:rPr>
          <w:lang w:val="fr-FR"/>
        </w:rPr>
        <w:t>Memlika c. Grèce</w:t>
      </w:r>
      <w:r w:rsidRPr="00D23690">
        <w:rPr>
          <w:lang w:val="fr-FR"/>
        </w:rPr>
        <w:t>,</w:t>
      </w:r>
    </w:p>
    <w:p w:rsidR="00362D1F" w:rsidRPr="00D23690" w:rsidRDefault="00EC6427" w:rsidP="0068104D">
      <w:pPr>
        <w:pStyle w:val="ECHRPara"/>
      </w:pPr>
      <w:r w:rsidRPr="00D23690">
        <w:t xml:space="preserve">La Cour européenne des </w:t>
      </w:r>
      <w:r w:rsidR="00445E54" w:rsidRPr="00D23690">
        <w:t>d</w:t>
      </w:r>
      <w:r w:rsidRPr="00D23690">
        <w:t>roits de l</w:t>
      </w:r>
      <w:r w:rsidR="00F72410">
        <w:t>’</w:t>
      </w:r>
      <w:r w:rsidR="00445E54" w:rsidRPr="00D23690">
        <w:t>h</w:t>
      </w:r>
      <w:r w:rsidRPr="00D23690">
        <w:t>omme</w:t>
      </w:r>
      <w:r w:rsidR="00DE593D" w:rsidRPr="00D23690">
        <w:t xml:space="preserve"> (</w:t>
      </w:r>
      <w:r w:rsidR="00430622" w:rsidRPr="00D23690">
        <w:t>première section</w:t>
      </w:r>
      <w:r w:rsidR="00DE593D" w:rsidRPr="00D23690">
        <w:t>)</w:t>
      </w:r>
      <w:r w:rsidRPr="00D23690">
        <w:t xml:space="preserve">, siégeant en </w:t>
      </w:r>
      <w:r w:rsidR="00430622" w:rsidRPr="00D23690">
        <w:t>une chambre composée</w:t>
      </w:r>
      <w:r w:rsidR="004702BA" w:rsidRPr="00D23690">
        <w:t xml:space="preserve"> </w:t>
      </w:r>
      <w:r w:rsidR="00362D1F" w:rsidRPr="00D23690">
        <w:t>de :</w:t>
      </w:r>
    </w:p>
    <w:p w:rsidR="0009234F" w:rsidRPr="00D23690" w:rsidRDefault="00D23690" w:rsidP="0068104D">
      <w:pPr>
        <w:pStyle w:val="ECHRDecisionBody"/>
      </w:pPr>
      <w:r w:rsidRPr="00D23690">
        <w:tab/>
        <w:t>András Sajó,</w:t>
      </w:r>
      <w:r w:rsidRPr="00D23690">
        <w:rPr>
          <w:i/>
        </w:rPr>
        <w:t xml:space="preserve"> président,</w:t>
      </w:r>
      <w:r w:rsidRPr="00D23690">
        <w:rPr>
          <w:i/>
        </w:rPr>
        <w:br/>
      </w:r>
      <w:r w:rsidRPr="00D23690">
        <w:tab/>
        <w:t>Elisabeth Steiner,</w:t>
      </w:r>
      <w:r w:rsidRPr="00D23690">
        <w:rPr>
          <w:i/>
        </w:rPr>
        <w:br/>
      </w:r>
      <w:r w:rsidRPr="00D23690">
        <w:tab/>
        <w:t>Khanlar Hajiyev,</w:t>
      </w:r>
      <w:r w:rsidRPr="00D23690">
        <w:rPr>
          <w:i/>
        </w:rPr>
        <w:br/>
      </w:r>
      <w:r w:rsidRPr="00D23690">
        <w:tab/>
        <w:t>Paulo Pinto de Albuquerque,</w:t>
      </w:r>
      <w:r w:rsidRPr="00D23690">
        <w:rPr>
          <w:i/>
        </w:rPr>
        <w:br/>
      </w:r>
      <w:r w:rsidRPr="00D23690">
        <w:tab/>
        <w:t>Linos-Alexandre Sicilianos,</w:t>
      </w:r>
      <w:r w:rsidRPr="00D23690">
        <w:rPr>
          <w:i/>
        </w:rPr>
        <w:br/>
      </w:r>
      <w:r w:rsidRPr="00D23690">
        <w:tab/>
        <w:t>Erik Møse,</w:t>
      </w:r>
      <w:r w:rsidRPr="00D23690">
        <w:rPr>
          <w:i/>
        </w:rPr>
        <w:br/>
      </w:r>
      <w:r w:rsidRPr="00D23690">
        <w:tab/>
        <w:t>Dmitry Dedov,</w:t>
      </w:r>
      <w:r w:rsidRPr="00D23690">
        <w:rPr>
          <w:i/>
        </w:rPr>
        <w:t xml:space="preserve"> juges,</w:t>
      </w:r>
      <w:r w:rsidR="0009234F" w:rsidRPr="00D23690">
        <w:br/>
        <w:t xml:space="preserve">et de </w:t>
      </w:r>
      <w:r w:rsidR="00430622" w:rsidRPr="00D23690">
        <w:t>Søren Nielsen</w:t>
      </w:r>
      <w:r w:rsidR="004E3393" w:rsidRPr="00D23690">
        <w:t xml:space="preserve">, </w:t>
      </w:r>
      <w:r w:rsidR="00430622" w:rsidRPr="00D23690">
        <w:rPr>
          <w:i/>
        </w:rPr>
        <w:t>greffier</w:t>
      </w:r>
      <w:r w:rsidR="00430622" w:rsidRPr="00D23690">
        <w:rPr>
          <w:iCs/>
        </w:rPr>
        <w:t xml:space="preserve"> </w:t>
      </w:r>
      <w:r w:rsidR="00430622" w:rsidRPr="00D23690">
        <w:rPr>
          <w:i/>
          <w:iCs/>
        </w:rPr>
        <w:t>d</w:t>
      </w:r>
      <w:r w:rsidR="00430622" w:rsidRPr="00D23690">
        <w:rPr>
          <w:i/>
        </w:rPr>
        <w:t>e section</w:t>
      </w:r>
      <w:r w:rsidR="0009234F" w:rsidRPr="00D23690">
        <w:t>,</w:t>
      </w:r>
    </w:p>
    <w:p w:rsidR="00EC6427" w:rsidRPr="00D23690" w:rsidRDefault="00EC6427" w:rsidP="0068104D">
      <w:pPr>
        <w:pStyle w:val="ECHRPara"/>
      </w:pPr>
      <w:r w:rsidRPr="00D23690">
        <w:t xml:space="preserve">Après en avoir délibéré en chambre du conseil le </w:t>
      </w:r>
      <w:r w:rsidR="00D23690" w:rsidRPr="00D23690">
        <w:t>8 septembre 2015</w:t>
      </w:r>
      <w:r w:rsidRPr="00D23690">
        <w:t>,</w:t>
      </w:r>
    </w:p>
    <w:p w:rsidR="00EC6427" w:rsidRPr="00D23690" w:rsidRDefault="00EC6427" w:rsidP="0068104D">
      <w:pPr>
        <w:pStyle w:val="ECHRPara"/>
      </w:pPr>
      <w:r w:rsidRPr="00D23690">
        <w:t>Rend l</w:t>
      </w:r>
      <w:r w:rsidR="00F72410">
        <w:t>’</w:t>
      </w:r>
      <w:r w:rsidRPr="00D23690">
        <w:t>arrêt que voici, adopté à cette date :</w:t>
      </w:r>
    </w:p>
    <w:p w:rsidR="00EC6427" w:rsidRPr="00D23690" w:rsidRDefault="00EC6427" w:rsidP="00B33C50">
      <w:pPr>
        <w:pStyle w:val="ECHRTitle1"/>
      </w:pPr>
      <w:r w:rsidRPr="00D23690">
        <w:t>PROCÉDURE</w:t>
      </w:r>
    </w:p>
    <w:p w:rsidR="00EC6427" w:rsidRPr="00D23690" w:rsidRDefault="00F72410" w:rsidP="00E90227">
      <w:pPr>
        <w:pStyle w:val="ECHRPara"/>
      </w:pPr>
      <w:fldSimple w:instr=" SEQ level0 \*arabic ">
        <w:r w:rsidR="00886CF1">
          <w:rPr>
            <w:noProof/>
          </w:rPr>
          <w:t>1</w:t>
        </w:r>
      </w:fldSimple>
      <w:r w:rsidR="00EC6427" w:rsidRPr="00D23690">
        <w:t>.  </w:t>
      </w:r>
      <w:r w:rsidR="00D23690" w:rsidRPr="00D23690">
        <w:t>À</w:t>
      </w:r>
      <w:r w:rsidR="00EC6427" w:rsidRPr="00D23690">
        <w:t xml:space="preserve"> l</w:t>
      </w:r>
      <w:r>
        <w:t>’</w:t>
      </w:r>
      <w:r w:rsidR="00EC6427" w:rsidRPr="00D23690">
        <w:t>origine de l</w:t>
      </w:r>
      <w:r>
        <w:t>’</w:t>
      </w:r>
      <w:r w:rsidR="00EC6427" w:rsidRPr="00D23690">
        <w:t xml:space="preserve">affaire </w:t>
      </w:r>
      <w:r w:rsidR="00430622" w:rsidRPr="00D23690">
        <w:t>se trouve une requête (n</w:t>
      </w:r>
      <w:r w:rsidR="00D23690" w:rsidRPr="00D23690">
        <w:rPr>
          <w:vertAlign w:val="superscript"/>
        </w:rPr>
        <w:t>o</w:t>
      </w:r>
      <w:r w:rsidR="00430622" w:rsidRPr="00D23690">
        <w:t xml:space="preserve"> 37991/12) dirigée</w:t>
      </w:r>
      <w:r w:rsidR="00EC6427" w:rsidRPr="00D23690">
        <w:t xml:space="preserve"> contre </w:t>
      </w:r>
      <w:r w:rsidR="00430622" w:rsidRPr="00D23690">
        <w:t>la République hellénique</w:t>
      </w:r>
      <w:r w:rsidR="00EC6427" w:rsidRPr="00D23690">
        <w:t xml:space="preserve"> et dont </w:t>
      </w:r>
      <w:r w:rsidR="00221F58" w:rsidRPr="00D23690">
        <w:t>quatre ressortissants albanais, Novrus Memlika, Leonora Memlika, Sebastian Memlika et Katerina Memlika</w:t>
      </w:r>
      <w:r w:rsidR="00430622" w:rsidRPr="00D23690">
        <w:t xml:space="preserve"> (« les requérants »), ont saisi la Cour le 7 juin 2012</w:t>
      </w:r>
      <w:r w:rsidR="00EC6427" w:rsidRPr="00D23690">
        <w:t xml:space="preserve"> en vertu de </w:t>
      </w:r>
      <w:r w:rsidR="00430622" w:rsidRPr="00D23690">
        <w:t>l</w:t>
      </w:r>
      <w:r>
        <w:t>’</w:t>
      </w:r>
      <w:r w:rsidR="00430622" w:rsidRPr="00D23690">
        <w:t>article 34</w:t>
      </w:r>
      <w:r w:rsidR="00EC6427" w:rsidRPr="00D23690">
        <w:t xml:space="preserve"> de la Convention de sauvegarde des </w:t>
      </w:r>
      <w:r w:rsidR="00445E54" w:rsidRPr="00D23690">
        <w:t>d</w:t>
      </w:r>
      <w:r w:rsidR="00EC6427" w:rsidRPr="00D23690">
        <w:t>roits de l</w:t>
      </w:r>
      <w:r>
        <w:t>’</w:t>
      </w:r>
      <w:r w:rsidR="00445E54" w:rsidRPr="00D23690">
        <w:t>h</w:t>
      </w:r>
      <w:r w:rsidR="00DC1AF9" w:rsidRPr="00D23690">
        <w:t>omme et des l</w:t>
      </w:r>
      <w:r w:rsidR="00EC6427" w:rsidRPr="00D23690">
        <w:t>ibertés fondamentales (« la Convention »).</w:t>
      </w:r>
    </w:p>
    <w:p w:rsidR="00FA6BFB" w:rsidRPr="00D23690" w:rsidRDefault="00F72410" w:rsidP="00FA6BFB">
      <w:pPr>
        <w:pStyle w:val="ECHRPara"/>
      </w:pPr>
      <w:fldSimple w:instr=" SEQ level0 \*arabic ">
        <w:r w:rsidR="00886CF1">
          <w:rPr>
            <w:noProof/>
          </w:rPr>
          <w:t>2</w:t>
        </w:r>
      </w:fldSimple>
      <w:r w:rsidR="00EC6427" w:rsidRPr="00D23690">
        <w:t>.  </w:t>
      </w:r>
      <w:r w:rsidR="00430622" w:rsidRPr="00D23690">
        <w:t>Les requérants ont été représentés par M</w:t>
      </w:r>
      <w:r w:rsidR="00430622" w:rsidRPr="00D23690">
        <w:rPr>
          <w:vertAlign w:val="superscript"/>
        </w:rPr>
        <w:t>e</w:t>
      </w:r>
      <w:r w:rsidR="00430622" w:rsidRPr="00D23690">
        <w:t> K.</w:t>
      </w:r>
      <w:r w:rsidR="00B75F74" w:rsidRPr="00D23690">
        <w:t> </w:t>
      </w:r>
      <w:r w:rsidR="00430622" w:rsidRPr="00D23690">
        <w:t xml:space="preserve">Farmakidis-Markou, avocat à Athènes. </w:t>
      </w:r>
      <w:r w:rsidR="00EC6427" w:rsidRPr="00D23690">
        <w:t xml:space="preserve">Le gouvernement </w:t>
      </w:r>
      <w:r w:rsidR="00430622" w:rsidRPr="00D23690">
        <w:t>grec</w:t>
      </w:r>
      <w:r w:rsidR="00EC6427" w:rsidRPr="00D23690">
        <w:t xml:space="preserve"> (« le Gouvernement ») </w:t>
      </w:r>
      <w:r w:rsidR="00D603FB" w:rsidRPr="00D23690">
        <w:t>a été</w:t>
      </w:r>
      <w:r w:rsidR="00EC6427" w:rsidRPr="00D23690">
        <w:t xml:space="preserve"> représenté par</w:t>
      </w:r>
      <w:r w:rsidR="00166CAB" w:rsidRPr="00D23690">
        <w:t xml:space="preserve"> le délégué</w:t>
      </w:r>
      <w:r w:rsidR="00221F58" w:rsidRPr="00D23690">
        <w:t xml:space="preserve"> de</w:t>
      </w:r>
      <w:r w:rsidR="00EC6427" w:rsidRPr="00D23690">
        <w:t xml:space="preserve"> son agent, </w:t>
      </w:r>
      <w:r w:rsidR="00166CAB" w:rsidRPr="00D23690">
        <w:t>M. V.</w:t>
      </w:r>
      <w:r w:rsidR="00B75F74" w:rsidRPr="00D23690">
        <w:t> </w:t>
      </w:r>
      <w:r w:rsidR="00166CAB" w:rsidRPr="00D23690">
        <w:t>Kyriazopoulos, conseiller auprès du Conseil juridique de l</w:t>
      </w:r>
      <w:r>
        <w:t>’</w:t>
      </w:r>
      <w:r w:rsidR="00166CAB" w:rsidRPr="00D23690">
        <w:t>Etat.</w:t>
      </w:r>
      <w:r w:rsidR="00FA6BFB" w:rsidRPr="00D23690">
        <w:t xml:space="preserve"> Informé de son droit de prendre part à la procédure (article 36 § 1 de la Convention et </w:t>
      </w:r>
      <w:r w:rsidR="00D5720A" w:rsidRPr="00D23690">
        <w:t xml:space="preserve">article </w:t>
      </w:r>
      <w:r w:rsidR="00FA6BFB" w:rsidRPr="00D23690">
        <w:t>44 § 1 du règlement</w:t>
      </w:r>
      <w:r w:rsidR="00D5720A" w:rsidRPr="00D23690">
        <w:t xml:space="preserve"> de la Cour</w:t>
      </w:r>
      <w:r w:rsidR="00FA6BFB" w:rsidRPr="00D23690">
        <w:t>), le gouvernement albanais n</w:t>
      </w:r>
      <w:r>
        <w:t>’</w:t>
      </w:r>
      <w:r w:rsidR="00FA6BFB" w:rsidRPr="00D23690">
        <w:t>a pas répondu.</w:t>
      </w:r>
    </w:p>
    <w:p w:rsidR="00F72410" w:rsidRDefault="00F72410" w:rsidP="00FC739E">
      <w:pPr>
        <w:pStyle w:val="ECHRPara"/>
      </w:pPr>
      <w:fldSimple w:instr=" SEQ level0 \*arabic ">
        <w:r w:rsidR="00886CF1">
          <w:rPr>
            <w:noProof/>
          </w:rPr>
          <w:t>3</w:t>
        </w:r>
      </w:fldSimple>
      <w:r w:rsidR="00430622" w:rsidRPr="00D23690">
        <w:t xml:space="preserve">.  Les requérants allèguent </w:t>
      </w:r>
      <w:r w:rsidR="00221F58" w:rsidRPr="00D23690">
        <w:t>des</w:t>
      </w:r>
      <w:r w:rsidR="005F02F1" w:rsidRPr="00D23690">
        <w:t xml:space="preserve"> violations des articles 5 § 1 et</w:t>
      </w:r>
      <w:r w:rsidR="00221F58" w:rsidRPr="00D23690">
        <w:t xml:space="preserve"> 8 de la Convention ainsi que de l</w:t>
      </w:r>
      <w:r>
        <w:t>’</w:t>
      </w:r>
      <w:r w:rsidR="00221F58" w:rsidRPr="00D23690">
        <w:t>article 2 du Protocole n</w:t>
      </w:r>
      <w:r w:rsidR="00D23690" w:rsidRPr="00D23690">
        <w:rPr>
          <w:vertAlign w:val="superscript"/>
        </w:rPr>
        <w:t>o</w:t>
      </w:r>
      <w:r w:rsidR="00221F58" w:rsidRPr="00D23690">
        <w:t xml:space="preserve"> 1</w:t>
      </w:r>
      <w:r w:rsidR="002A3B51" w:rsidRPr="00D23690">
        <w:t xml:space="preserve"> à la Convention</w:t>
      </w:r>
      <w:r w:rsidR="005F02F1" w:rsidRPr="00D23690">
        <w:t>, pris isolément et combinés avec l</w:t>
      </w:r>
      <w:r>
        <w:t>’</w:t>
      </w:r>
      <w:r w:rsidR="005F02F1" w:rsidRPr="00D23690">
        <w:t>article 13 de la Convention.</w:t>
      </w:r>
    </w:p>
    <w:p w:rsidR="00C27BF2" w:rsidRPr="00D23690" w:rsidRDefault="00F72410" w:rsidP="00221F58">
      <w:pPr>
        <w:pStyle w:val="ECHRPara"/>
        <w:rPr>
          <w:szCs w:val="24"/>
          <w:lang w:eastAsia="en-GB"/>
        </w:rPr>
      </w:pPr>
      <w:fldSimple w:instr=" SEQ level0 \*arabic ">
        <w:r w:rsidR="00886CF1">
          <w:rPr>
            <w:noProof/>
          </w:rPr>
          <w:t>4</w:t>
        </w:r>
      </w:fldSimple>
      <w:r w:rsidR="00FC739E" w:rsidRPr="00D23690">
        <w:t xml:space="preserve">.  Le </w:t>
      </w:r>
      <w:r w:rsidR="00430622" w:rsidRPr="00D23690">
        <w:t>11 septembre 2012</w:t>
      </w:r>
      <w:r w:rsidR="00FC739E" w:rsidRPr="00D23690">
        <w:t xml:space="preserve">, </w:t>
      </w:r>
      <w:r w:rsidR="00430622" w:rsidRPr="00D23690">
        <w:t>la requête a</w:t>
      </w:r>
      <w:r w:rsidR="00FC739E" w:rsidRPr="00D23690">
        <w:t xml:space="preserve"> été </w:t>
      </w:r>
      <w:r w:rsidR="00430622" w:rsidRPr="00D23690">
        <w:t>communiquée</w:t>
      </w:r>
      <w:r w:rsidR="00FC739E" w:rsidRPr="00D23690">
        <w:t xml:space="preserve"> au Gouvernement.</w:t>
      </w:r>
      <w:r w:rsidR="00430622" w:rsidRPr="00D23690">
        <w:t xml:space="preserve"> Comme le permet l</w:t>
      </w:r>
      <w:r>
        <w:t>’</w:t>
      </w:r>
      <w:r w:rsidR="00430622" w:rsidRPr="00D23690">
        <w:t xml:space="preserve">article 29 § 1 de la Convention, il a en outre été décidé </w:t>
      </w:r>
      <w:r w:rsidR="00430622" w:rsidRPr="00D23690">
        <w:rPr>
          <w:rStyle w:val="Strong"/>
          <w:b w:val="0"/>
        </w:rPr>
        <w:t>que</w:t>
      </w:r>
      <w:r w:rsidR="00430622" w:rsidRPr="00D23690">
        <w:t xml:space="preserve"> la chambre se prononcerait en même temps sur la recevabilité et </w:t>
      </w:r>
      <w:r w:rsidR="002A3B51" w:rsidRPr="00D23690">
        <w:t xml:space="preserve">sur </w:t>
      </w:r>
      <w:r w:rsidR="00430622" w:rsidRPr="00D23690">
        <w:t>le fond</w:t>
      </w:r>
      <w:r w:rsidR="002A3B51" w:rsidRPr="00D23690">
        <w:t xml:space="preserve"> de l</w:t>
      </w:r>
      <w:r>
        <w:t>’</w:t>
      </w:r>
      <w:r w:rsidR="002A3B51" w:rsidRPr="00D23690">
        <w:t>affaire</w:t>
      </w:r>
      <w:r w:rsidR="00430622" w:rsidRPr="00D23690">
        <w:t>.</w:t>
      </w:r>
    </w:p>
    <w:p w:rsidR="00EC6427" w:rsidRPr="00D23690" w:rsidRDefault="00EC6427" w:rsidP="00B33C50">
      <w:pPr>
        <w:pStyle w:val="ECHRTitle1"/>
        <w:tabs>
          <w:tab w:val="left" w:pos="5387"/>
        </w:tabs>
      </w:pPr>
      <w:r w:rsidRPr="00D23690">
        <w:t>EN FAIT</w:t>
      </w:r>
    </w:p>
    <w:p w:rsidR="00D31210" w:rsidRPr="00D23690" w:rsidRDefault="0000732D" w:rsidP="00B33C50">
      <w:pPr>
        <w:pStyle w:val="ECHRHeading1"/>
      </w:pPr>
      <w:r w:rsidRPr="00D23690">
        <w:t>I.  LES CIRCONSTANCES DE L</w:t>
      </w:r>
      <w:r w:rsidR="00F72410">
        <w:t>’</w:t>
      </w:r>
      <w:r w:rsidRPr="00D23690">
        <w:t>ESPÈC</w:t>
      </w:r>
      <w:r w:rsidR="00D31210" w:rsidRPr="00D23690">
        <w:t>E</w:t>
      </w:r>
    </w:p>
    <w:p w:rsidR="00EC6427" w:rsidRPr="00D23690" w:rsidRDefault="00F72410" w:rsidP="007E34C8">
      <w:pPr>
        <w:pStyle w:val="ECHRPara"/>
      </w:pPr>
      <w:fldSimple w:instr=" SEQ level0 \*arabic ">
        <w:r w:rsidR="00886CF1">
          <w:rPr>
            <w:noProof/>
          </w:rPr>
          <w:t>5</w:t>
        </w:r>
      </w:fldSimple>
      <w:r w:rsidR="00EC6427" w:rsidRPr="00D23690">
        <w:t>.  </w:t>
      </w:r>
      <w:r w:rsidR="00430622" w:rsidRPr="00D23690">
        <w:t>Les requérants sont nés respectivement en 1968</w:t>
      </w:r>
      <w:r w:rsidR="00221F58" w:rsidRPr="00D23690">
        <w:t>,</w:t>
      </w:r>
      <w:r w:rsidR="00430622" w:rsidRPr="00D23690">
        <w:t xml:space="preserve"> </w:t>
      </w:r>
      <w:r w:rsidR="00221F58" w:rsidRPr="00D23690">
        <w:t>1978, 2000 et 2004</w:t>
      </w:r>
      <w:r w:rsidR="00430622" w:rsidRPr="00D23690">
        <w:t xml:space="preserve"> et résident à Panaitolio Aitoloakarnania</w:t>
      </w:r>
      <w:r w:rsidR="000F08D4" w:rsidRPr="00D23690">
        <w:t>.</w:t>
      </w:r>
    </w:p>
    <w:p w:rsidR="00221F58" w:rsidRPr="00D23690" w:rsidRDefault="00F72410" w:rsidP="00221F58">
      <w:pPr>
        <w:pStyle w:val="ECHRPara"/>
      </w:pPr>
      <w:fldSimple w:instr=" SEQ level0 \*arabic ">
        <w:r w:rsidR="00886CF1">
          <w:rPr>
            <w:noProof/>
          </w:rPr>
          <w:t>6</w:t>
        </w:r>
      </w:fldSimple>
      <w:r w:rsidR="00EC6427" w:rsidRPr="00D23690">
        <w:t>.  </w:t>
      </w:r>
      <w:r w:rsidR="00221F58" w:rsidRPr="00D23690">
        <w:t xml:space="preserve">La requérante </w:t>
      </w:r>
      <w:r w:rsidR="00FB75EE" w:rsidRPr="00D23690">
        <w:t xml:space="preserve">Leonora Memlika </w:t>
      </w:r>
      <w:r w:rsidR="00221F58" w:rsidRPr="00D23690">
        <w:t>est l</w:t>
      </w:r>
      <w:r>
        <w:t>’</w:t>
      </w:r>
      <w:r w:rsidR="00221F58" w:rsidRPr="00D23690">
        <w:t>épouse du</w:t>
      </w:r>
      <w:r w:rsidR="00FB75EE" w:rsidRPr="00D23690">
        <w:t xml:space="preserve"> requérant</w:t>
      </w:r>
      <w:r w:rsidR="001C41C2" w:rsidRPr="00D23690">
        <w:t xml:space="preserve"> Novrus Memlika</w:t>
      </w:r>
      <w:r w:rsidR="00221F58" w:rsidRPr="00D23690">
        <w:t>. Les troisième et quatrième requérants sont les enfants des deux premiers</w:t>
      </w:r>
      <w:r w:rsidR="00FB75EE" w:rsidRPr="00D23690">
        <w:t xml:space="preserve"> requérants</w:t>
      </w:r>
      <w:r w:rsidR="00221F58" w:rsidRPr="00D23690">
        <w:t xml:space="preserve">. </w:t>
      </w:r>
      <w:r w:rsidR="001C41C2" w:rsidRPr="00D23690">
        <w:t>Tous</w:t>
      </w:r>
      <w:r w:rsidR="00221F58" w:rsidRPr="00D23690">
        <w:t xml:space="preserve"> sont installés en Grèce depuis </w:t>
      </w:r>
      <w:r w:rsidR="001C41C2" w:rsidRPr="00D23690">
        <w:t>au moins une dizaine d</w:t>
      </w:r>
      <w:r>
        <w:t>’</w:t>
      </w:r>
      <w:r w:rsidR="001C41C2" w:rsidRPr="00D23690">
        <w:t>années</w:t>
      </w:r>
      <w:r w:rsidR="00221F58" w:rsidRPr="00D23690">
        <w:t>. Le premier requérant présentait depuis longtemps des problèmes dermatologiques pour lesquels il avait été examiné à plusieurs reprises par les médecins de l</w:t>
      </w:r>
      <w:r>
        <w:t>’</w:t>
      </w:r>
      <w:r w:rsidR="00221F58" w:rsidRPr="00D23690">
        <w:t>hôpital de la ville d</w:t>
      </w:r>
      <w:r w:rsidR="00E12962" w:rsidRPr="00D23690">
        <w:t xml:space="preserve">e </w:t>
      </w:r>
      <w:r w:rsidR="00221F58" w:rsidRPr="00D23690">
        <w:t xml:space="preserve">Ioannina et </w:t>
      </w:r>
      <w:r w:rsidR="000F18E5" w:rsidRPr="00D23690">
        <w:t xml:space="preserve">pour lesquels il </w:t>
      </w:r>
      <w:r w:rsidR="00221F58" w:rsidRPr="00D23690">
        <w:t>suivait un traitement.</w:t>
      </w:r>
    </w:p>
    <w:p w:rsidR="00F72410" w:rsidRDefault="00F72410" w:rsidP="00221F58">
      <w:pPr>
        <w:pStyle w:val="ECHRPara"/>
      </w:pPr>
      <w:fldSimple w:instr=" SEQ level0 \*arabic ">
        <w:r w:rsidR="00886CF1">
          <w:rPr>
            <w:noProof/>
          </w:rPr>
          <w:t>7</w:t>
        </w:r>
      </w:fldSimple>
      <w:r w:rsidR="008D61E3" w:rsidRPr="00D23690">
        <w:t>.  </w:t>
      </w:r>
      <w:r w:rsidR="00221F58" w:rsidRPr="00D23690">
        <w:t>En mars 2011, un médecin de l</w:t>
      </w:r>
      <w:r>
        <w:t>’</w:t>
      </w:r>
      <w:r w:rsidR="00221F58" w:rsidRPr="00D23690">
        <w:t xml:space="preserve">hôpital de </w:t>
      </w:r>
      <w:r w:rsidR="007039CF" w:rsidRPr="00D23690">
        <w:t>Rion</w:t>
      </w:r>
      <w:r w:rsidR="00CA35E9" w:rsidRPr="00D23690">
        <w:t>,</w:t>
      </w:r>
      <w:r w:rsidR="00A82A74" w:rsidRPr="00D23690">
        <w:t xml:space="preserve"> à Patras,</w:t>
      </w:r>
      <w:r w:rsidR="00CC23EF" w:rsidRPr="00D23690">
        <w:t xml:space="preserve"> consulté par </w:t>
      </w:r>
      <w:r w:rsidR="00221F58" w:rsidRPr="00D23690">
        <w:t>le premier requérant</w:t>
      </w:r>
      <w:r w:rsidR="00CA35E9" w:rsidRPr="00D23690">
        <w:t>,</w:t>
      </w:r>
      <w:r w:rsidR="00221F58" w:rsidRPr="00D23690">
        <w:t xml:space="preserve"> recommanda </w:t>
      </w:r>
      <w:r w:rsidR="00CC23EF" w:rsidRPr="00D23690">
        <w:t xml:space="preserve">à ce dernier </w:t>
      </w:r>
      <w:r w:rsidR="00221F58" w:rsidRPr="00D23690">
        <w:t>de se faire examiner par un dermatologue de l</w:t>
      </w:r>
      <w:r>
        <w:t>’</w:t>
      </w:r>
      <w:r w:rsidR="00221F58" w:rsidRPr="00D23690">
        <w:t xml:space="preserve">hôpital. Le 5 mai 2011, </w:t>
      </w:r>
      <w:r w:rsidR="00CA35E9" w:rsidRPr="00D23690">
        <w:t>l</w:t>
      </w:r>
      <w:r>
        <w:t>’</w:t>
      </w:r>
      <w:r w:rsidR="00CA35E9" w:rsidRPr="00D23690">
        <w:t>intéressé</w:t>
      </w:r>
      <w:r w:rsidR="00221F58" w:rsidRPr="00D23690">
        <w:t xml:space="preserve"> se rendit à cet hôpital</w:t>
      </w:r>
      <w:r w:rsidR="000F18E5" w:rsidRPr="00D23690">
        <w:t xml:space="preserve"> dans lequel</w:t>
      </w:r>
      <w:r w:rsidR="00221F58" w:rsidRPr="00D23690">
        <w:t xml:space="preserve"> </w:t>
      </w:r>
      <w:r w:rsidR="00CA35E9" w:rsidRPr="00D23690">
        <w:t xml:space="preserve">il fut soumis </w:t>
      </w:r>
      <w:r w:rsidR="00221F58" w:rsidRPr="00D23690">
        <w:t xml:space="preserve">à un examen consistant </w:t>
      </w:r>
      <w:r w:rsidR="00CC23EF" w:rsidRPr="00D23690">
        <w:t xml:space="preserve">en </w:t>
      </w:r>
      <w:r w:rsidR="000F18E5" w:rsidRPr="00D23690">
        <w:t xml:space="preserve">une </w:t>
      </w:r>
      <w:r w:rsidR="00221F58" w:rsidRPr="00D23690">
        <w:t>extra</w:t>
      </w:r>
      <w:r w:rsidR="00CC23EF" w:rsidRPr="00D23690">
        <w:t>ction</w:t>
      </w:r>
      <w:r w:rsidR="00221F58" w:rsidRPr="00D23690">
        <w:t xml:space="preserve"> des secrétions du nez et des oreilles</w:t>
      </w:r>
      <w:r w:rsidR="00CA35E9" w:rsidRPr="00D23690">
        <w:t>,</w:t>
      </w:r>
      <w:r w:rsidR="000F18E5" w:rsidRPr="00D23690">
        <w:t xml:space="preserve"> basé sur </w:t>
      </w:r>
      <w:r w:rsidR="00367DB9" w:rsidRPr="00D23690">
        <w:t>la</w:t>
      </w:r>
      <w:r w:rsidR="000F18E5" w:rsidRPr="00D23690">
        <w:t xml:space="preserve"> </w:t>
      </w:r>
      <w:r w:rsidR="00CA35E9" w:rsidRPr="00D23690">
        <w:t xml:space="preserve">méthode dite </w:t>
      </w:r>
      <w:r w:rsidR="000C2B6E" w:rsidRPr="00D23690">
        <w:t>« coloration de</w:t>
      </w:r>
      <w:r w:rsidR="00221F58" w:rsidRPr="00D23690">
        <w:t xml:space="preserve"> Ziehl-Ne</w:t>
      </w:r>
      <w:r w:rsidR="00CC23EF" w:rsidRPr="00D23690">
        <w:t>e</w:t>
      </w:r>
      <w:r w:rsidR="00221F58" w:rsidRPr="00D23690">
        <w:t>lsen</w:t>
      </w:r>
      <w:r w:rsidR="000C2B6E" w:rsidRPr="00D23690">
        <w:t> »</w:t>
      </w:r>
      <w:r w:rsidR="00CA35E9" w:rsidRPr="00D23690">
        <w:t>, par le directeur de la clinique dermatologique</w:t>
      </w:r>
      <w:r w:rsidR="00221F58" w:rsidRPr="00D23690">
        <w:t>. Le</w:t>
      </w:r>
      <w:r w:rsidR="00F445F0" w:rsidRPr="00D23690">
        <w:t xml:space="preserve"> lendemain</w:t>
      </w:r>
      <w:r w:rsidR="00221F58" w:rsidRPr="00D23690">
        <w:t xml:space="preserve">, </w:t>
      </w:r>
      <w:r w:rsidR="00CA35E9" w:rsidRPr="00D23690">
        <w:t>il subit</w:t>
      </w:r>
      <w:r w:rsidR="00221F58" w:rsidRPr="00D23690">
        <w:t xml:space="preserve"> une biopsie.</w:t>
      </w:r>
    </w:p>
    <w:p w:rsidR="00F72410" w:rsidRDefault="00F72410" w:rsidP="00221F58">
      <w:pPr>
        <w:pStyle w:val="ECHRPara"/>
      </w:pPr>
      <w:fldSimple w:instr=" SEQ level0 \*arabic ">
        <w:r w:rsidR="00886CF1">
          <w:rPr>
            <w:noProof/>
          </w:rPr>
          <w:t>8</w:t>
        </w:r>
      </w:fldSimple>
      <w:r w:rsidR="000E0AFC" w:rsidRPr="00D23690">
        <w:t>.  </w:t>
      </w:r>
      <w:r w:rsidR="00336D6F" w:rsidRPr="00D23690">
        <w:t>Dans ses observations devant la Cour, l</w:t>
      </w:r>
      <w:r w:rsidR="00CD6DFF" w:rsidRPr="00D23690">
        <w:t>e</w:t>
      </w:r>
      <w:r w:rsidR="00977CFB" w:rsidRPr="00D23690">
        <w:t xml:space="preserve"> premier</w:t>
      </w:r>
      <w:r w:rsidR="00CD6DFF" w:rsidRPr="00D23690">
        <w:t xml:space="preserve"> requérant</w:t>
      </w:r>
      <w:r w:rsidR="00C05AB2" w:rsidRPr="00D23690">
        <w:t xml:space="preserve"> déclare</w:t>
      </w:r>
      <w:r w:rsidR="00CD6DFF" w:rsidRPr="00D23690">
        <w:t xml:space="preserve"> que</w:t>
      </w:r>
      <w:r w:rsidR="00977CFB" w:rsidRPr="00D23690">
        <w:t>,</w:t>
      </w:r>
      <w:r w:rsidR="00CD6DFF" w:rsidRPr="00D23690">
        <w:t xml:space="preserve"> </w:t>
      </w:r>
      <w:r w:rsidR="00660904" w:rsidRPr="00D23690">
        <w:t>ce jour-là</w:t>
      </w:r>
      <w:r w:rsidR="00F445F0" w:rsidRPr="00D23690">
        <w:t xml:space="preserve"> </w:t>
      </w:r>
      <w:r w:rsidR="00F445F0" w:rsidRPr="00D23690">
        <w:rPr>
          <w:rFonts w:cstheme="minorHAnsi"/>
        </w:rPr>
        <w:t>– à savoir le 6 mai 2011 –</w:t>
      </w:r>
      <w:r w:rsidR="00221F58" w:rsidRPr="00D23690">
        <w:t xml:space="preserve">, le directeur </w:t>
      </w:r>
      <w:r w:rsidR="00870735" w:rsidRPr="00D23690">
        <w:t xml:space="preserve">de la clinique dermatologique </w:t>
      </w:r>
      <w:r w:rsidR="00221F58" w:rsidRPr="00D23690">
        <w:t>l</w:t>
      </w:r>
      <w:r>
        <w:t>’</w:t>
      </w:r>
      <w:r w:rsidR="00C05AB2" w:rsidRPr="00D23690">
        <w:t>informa</w:t>
      </w:r>
      <w:r w:rsidR="00221F58" w:rsidRPr="00D23690">
        <w:t xml:space="preserve"> qu</w:t>
      </w:r>
      <w:r>
        <w:t>’</w:t>
      </w:r>
      <w:r w:rsidR="00221F58" w:rsidRPr="00D23690">
        <w:t xml:space="preserve">il était atteint de la lèpre (ou maladie de Hansen) et lui administra immédiatement un traitement </w:t>
      </w:r>
      <w:r w:rsidR="00330329" w:rsidRPr="00D23690">
        <w:t>médical</w:t>
      </w:r>
      <w:r w:rsidR="00324420" w:rsidRPr="00D23690">
        <w:t>, et qu</w:t>
      </w:r>
      <w:r>
        <w:t>’</w:t>
      </w:r>
      <w:r w:rsidR="00324420" w:rsidRPr="00D23690">
        <w:t>i</w:t>
      </w:r>
      <w:r w:rsidR="00221F58" w:rsidRPr="00D23690">
        <w:t xml:space="preserve">l lui annonça aussi </w:t>
      </w:r>
      <w:r w:rsidR="00324420" w:rsidRPr="00D23690">
        <w:t>qu</w:t>
      </w:r>
      <w:r w:rsidR="00C05AB2" w:rsidRPr="00D23690">
        <w:t xml:space="preserve">e, en raison de la contagiosité de cette maladie, </w:t>
      </w:r>
      <w:r w:rsidR="00221F58" w:rsidRPr="00D23690">
        <w:t xml:space="preserve">il devait être </w:t>
      </w:r>
      <w:r w:rsidR="00344CD9" w:rsidRPr="00D23690">
        <w:t xml:space="preserve">admis </w:t>
      </w:r>
      <w:r w:rsidR="00221F58" w:rsidRPr="00D23690">
        <w:t>à l</w:t>
      </w:r>
      <w:r>
        <w:t>’</w:t>
      </w:r>
      <w:r w:rsidR="00221F58" w:rsidRPr="00D23690">
        <w:t xml:space="preserve">hôpital et faire venir sa famille pour des examens. </w:t>
      </w:r>
      <w:r w:rsidR="00324420" w:rsidRPr="00D23690">
        <w:t>L</w:t>
      </w:r>
      <w:r w:rsidR="00CD6DFF" w:rsidRPr="00D23690">
        <w:t xml:space="preserve">e Gouvernement soutient </w:t>
      </w:r>
      <w:r w:rsidR="00324420" w:rsidRPr="00D23690">
        <w:t xml:space="preserve">en revanche </w:t>
      </w:r>
      <w:r w:rsidR="00CD6DFF" w:rsidRPr="00D23690">
        <w:t>que le traitement du requérant commença le 13 mai 20</w:t>
      </w:r>
      <w:r w:rsidR="00C05AB2" w:rsidRPr="00D23690">
        <w:t>1</w:t>
      </w:r>
      <w:r w:rsidR="00CD6DFF" w:rsidRPr="00D23690">
        <w:t xml:space="preserve">1 et non le 6 mai, </w:t>
      </w:r>
      <w:r w:rsidR="00324420" w:rsidRPr="00D23690">
        <w:t>étant donné qu</w:t>
      </w:r>
      <w:r>
        <w:t>’</w:t>
      </w:r>
      <w:r w:rsidR="00CD6DFF" w:rsidRPr="00D23690">
        <w:t>il avait fallu</w:t>
      </w:r>
      <w:r w:rsidR="00324420" w:rsidRPr="00D23690">
        <w:t>, d</w:t>
      </w:r>
      <w:r>
        <w:t>’</w:t>
      </w:r>
      <w:r w:rsidR="00324420" w:rsidRPr="00D23690">
        <w:t>après lui,</w:t>
      </w:r>
      <w:r w:rsidR="00CD6DFF" w:rsidRPr="00D23690">
        <w:t xml:space="preserve"> effectuer certains tests médicaux sur </w:t>
      </w:r>
      <w:r w:rsidR="00324420" w:rsidRPr="00D23690">
        <w:t>la personne du premier requérant</w:t>
      </w:r>
      <w:r w:rsidR="00CD6DFF" w:rsidRPr="00D23690">
        <w:t xml:space="preserve"> </w:t>
      </w:r>
      <w:r w:rsidR="00324420" w:rsidRPr="00D23690">
        <w:t>pour</w:t>
      </w:r>
      <w:r w:rsidR="00CD6DFF" w:rsidRPr="00D23690">
        <w:t xml:space="preserve"> vérifier </w:t>
      </w:r>
      <w:r w:rsidR="00324420" w:rsidRPr="00D23690">
        <w:t>l</w:t>
      </w:r>
      <w:r>
        <w:t>’</w:t>
      </w:r>
      <w:r w:rsidR="00324420" w:rsidRPr="00D23690">
        <w:t xml:space="preserve">absence de contre-indication </w:t>
      </w:r>
      <w:r w:rsidR="00C05AB2" w:rsidRPr="00D23690">
        <w:t>a</w:t>
      </w:r>
      <w:r w:rsidR="00324420" w:rsidRPr="00D23690">
        <w:t>u</w:t>
      </w:r>
      <w:r w:rsidR="00CD6DFF" w:rsidRPr="00D23690">
        <w:t xml:space="preserve"> traitement projeté et </w:t>
      </w:r>
      <w:r w:rsidR="00330998" w:rsidRPr="00D23690">
        <w:t>faire venir</w:t>
      </w:r>
      <w:r w:rsidR="00CD6DFF" w:rsidRPr="00D23690">
        <w:t xml:space="preserve"> de</w:t>
      </w:r>
      <w:r w:rsidR="00330998" w:rsidRPr="00D23690">
        <w:t>puis</w:t>
      </w:r>
      <w:r w:rsidR="00CD6DFF" w:rsidRPr="00D23690">
        <w:t xml:space="preserve"> l</w:t>
      </w:r>
      <w:r>
        <w:t>’</w:t>
      </w:r>
      <w:r w:rsidR="00CD6DFF" w:rsidRPr="00D23690">
        <w:t>étranger</w:t>
      </w:r>
      <w:r w:rsidR="001957E2" w:rsidRPr="00D23690">
        <w:t xml:space="preserve"> (Suisse)</w:t>
      </w:r>
      <w:r w:rsidR="00CD6DFF" w:rsidRPr="00D23690">
        <w:t xml:space="preserve"> l</w:t>
      </w:r>
      <w:r>
        <w:t>’</w:t>
      </w:r>
      <w:r w:rsidR="00CD6DFF" w:rsidRPr="00D23690">
        <w:t xml:space="preserve">un des trois médicaments nécessaires </w:t>
      </w:r>
      <w:r w:rsidR="00324420" w:rsidRPr="00D23690">
        <w:t>à ce</w:t>
      </w:r>
      <w:r w:rsidR="00CD6DFF" w:rsidRPr="00D23690">
        <w:t xml:space="preserve"> traitement.</w:t>
      </w:r>
    </w:p>
    <w:p w:rsidR="00221F58" w:rsidRPr="00D23690" w:rsidRDefault="00F72410" w:rsidP="00221F58">
      <w:pPr>
        <w:pStyle w:val="ECHRPara"/>
      </w:pPr>
      <w:fldSimple w:instr=" SEQ level0 \*arabic ">
        <w:r w:rsidR="00886CF1">
          <w:rPr>
            <w:noProof/>
          </w:rPr>
          <w:t>9</w:t>
        </w:r>
      </w:fldSimple>
      <w:r w:rsidR="000E0AFC" w:rsidRPr="00D23690">
        <w:t>.  </w:t>
      </w:r>
      <w:r w:rsidR="00221F58" w:rsidRPr="00D23690">
        <w:t>Le 16 mai 2011, les trois autres requérants furent admis à l</w:t>
      </w:r>
      <w:r>
        <w:t>’</w:t>
      </w:r>
      <w:r w:rsidR="00221F58" w:rsidRPr="00D23690">
        <w:t xml:space="preserve">hôpital et </w:t>
      </w:r>
      <w:r w:rsidR="00765B5F" w:rsidRPr="00D23690">
        <w:t xml:space="preserve">soumis à des tests </w:t>
      </w:r>
      <w:r w:rsidR="007407E7" w:rsidRPr="00D23690">
        <w:t>à même de</w:t>
      </w:r>
      <w:r w:rsidR="00765B5F" w:rsidRPr="00D23690">
        <w:t xml:space="preserve"> détecter des symptômes de la maladie. L</w:t>
      </w:r>
      <w:r w:rsidR="00221F58" w:rsidRPr="00D23690">
        <w:t>e 20</w:t>
      </w:r>
      <w:r w:rsidR="00676BB0" w:rsidRPr="00D23690">
        <w:t> </w:t>
      </w:r>
      <w:r w:rsidR="00221F58" w:rsidRPr="00D23690">
        <w:t xml:space="preserve">mai 2011, le directeur </w:t>
      </w:r>
      <w:r w:rsidR="00676BB0" w:rsidRPr="00D23690">
        <w:t xml:space="preserve">de la clinique dermatologique </w:t>
      </w:r>
      <w:r w:rsidR="00221F58" w:rsidRPr="00D23690">
        <w:t>leur fit savoir qu</w:t>
      </w:r>
      <w:r>
        <w:t>’</w:t>
      </w:r>
      <w:r w:rsidR="00221F58" w:rsidRPr="00D23690">
        <w:t>ils étaient également atteints de la lèpre.</w:t>
      </w:r>
    </w:p>
    <w:p w:rsidR="000E0AFC" w:rsidRPr="00D23690" w:rsidRDefault="00F72410" w:rsidP="00221F58">
      <w:pPr>
        <w:pStyle w:val="ECHRPara"/>
      </w:pPr>
      <w:fldSimple w:instr=" SEQ level0 \*arabic ">
        <w:r w:rsidR="00886CF1">
          <w:rPr>
            <w:noProof/>
          </w:rPr>
          <w:t>10</w:t>
        </w:r>
      </w:fldSimple>
      <w:r w:rsidR="000E0AFC" w:rsidRPr="00D23690">
        <w:t>.  </w:t>
      </w:r>
      <w:r w:rsidR="005E6F80" w:rsidRPr="00D23690">
        <w:t>Dans ses observations devant la Cour, l</w:t>
      </w:r>
      <w:r w:rsidR="000E0AFC" w:rsidRPr="00D23690">
        <w:t>e Gouvernement souligne que l</w:t>
      </w:r>
      <w:r>
        <w:t>’</w:t>
      </w:r>
      <w:r w:rsidR="000E0AFC" w:rsidRPr="00D23690">
        <w:t>admission d</w:t>
      </w:r>
      <w:r w:rsidR="00676BB0" w:rsidRPr="00D23690">
        <w:t xml:space="preserve">es </w:t>
      </w:r>
      <w:r w:rsidR="000E0AFC" w:rsidRPr="00D23690">
        <w:t>requérant</w:t>
      </w:r>
      <w:r w:rsidR="00676BB0" w:rsidRPr="00D23690">
        <w:t>s</w:t>
      </w:r>
      <w:r w:rsidR="000E0AFC" w:rsidRPr="00D23690">
        <w:t xml:space="preserve"> à l</w:t>
      </w:r>
      <w:r>
        <w:t>’</w:t>
      </w:r>
      <w:r w:rsidR="000E0AFC" w:rsidRPr="00D23690">
        <w:t xml:space="preserve">hôpital </w:t>
      </w:r>
      <w:r w:rsidR="00F77B27" w:rsidRPr="00D23690">
        <w:t>avait été faite</w:t>
      </w:r>
      <w:r w:rsidR="000E0AFC" w:rsidRPr="00D23690">
        <w:t xml:space="preserve"> de leur propre </w:t>
      </w:r>
      <w:r w:rsidR="000C77D7" w:rsidRPr="00D23690">
        <w:t>chef</w:t>
      </w:r>
      <w:r w:rsidR="000E0AFC" w:rsidRPr="00D23690">
        <w:t>, la loi n</w:t>
      </w:r>
      <w:r>
        <w:t>’</w:t>
      </w:r>
      <w:r w:rsidR="000E0AFC" w:rsidRPr="00D23690">
        <w:t>imposant</w:t>
      </w:r>
      <w:r w:rsidR="00135EF2" w:rsidRPr="00D23690">
        <w:t xml:space="preserve"> d</w:t>
      </w:r>
      <w:r>
        <w:t>’</w:t>
      </w:r>
      <w:r w:rsidR="00135EF2" w:rsidRPr="00D23690">
        <w:t>après lui</w:t>
      </w:r>
      <w:r w:rsidR="000E0AFC" w:rsidRPr="00D23690">
        <w:t xml:space="preserve"> l</w:t>
      </w:r>
      <w:r>
        <w:t>’</w:t>
      </w:r>
      <w:r w:rsidR="00676BB0" w:rsidRPr="00D23690">
        <w:t>hospitalisation</w:t>
      </w:r>
      <w:r w:rsidR="000E0AFC" w:rsidRPr="00D23690">
        <w:t xml:space="preserve"> que des </w:t>
      </w:r>
      <w:r w:rsidR="00135EF2" w:rsidRPr="00D23690">
        <w:t xml:space="preserve">seules </w:t>
      </w:r>
      <w:r w:rsidR="000E0AFC" w:rsidRPr="00D23690">
        <w:t xml:space="preserve">personnes sans </w:t>
      </w:r>
      <w:r w:rsidR="0056626B" w:rsidRPr="00D23690">
        <w:t>domicile</w:t>
      </w:r>
      <w:r w:rsidR="000E0AFC" w:rsidRPr="00D23690">
        <w:t xml:space="preserve"> ou </w:t>
      </w:r>
      <w:r w:rsidR="00676BB0" w:rsidRPr="00D23690">
        <w:t>sans ressources</w:t>
      </w:r>
      <w:r w:rsidR="00543B83" w:rsidRPr="00D23690">
        <w:t xml:space="preserve"> financi</w:t>
      </w:r>
      <w:r w:rsidR="00676BB0" w:rsidRPr="00D23690">
        <w:t>ères</w:t>
      </w:r>
      <w:r w:rsidR="00543B83" w:rsidRPr="00D23690">
        <w:t xml:space="preserve">. Il </w:t>
      </w:r>
      <w:r w:rsidR="00676BB0" w:rsidRPr="00D23690">
        <w:t>précise</w:t>
      </w:r>
      <w:r w:rsidR="00543B83" w:rsidRPr="00D23690">
        <w:t xml:space="preserve"> qu</w:t>
      </w:r>
      <w:r w:rsidR="00F77B27" w:rsidRPr="00D23690">
        <w:t>e les intéressés</w:t>
      </w:r>
      <w:r w:rsidR="000E0AFC" w:rsidRPr="00D23690">
        <w:t xml:space="preserve"> n</w:t>
      </w:r>
      <w:r>
        <w:t>’</w:t>
      </w:r>
      <w:r w:rsidR="000E0AFC" w:rsidRPr="00D23690">
        <w:t xml:space="preserve">étaient pas </w:t>
      </w:r>
      <w:r w:rsidR="005E6F80" w:rsidRPr="00D23690">
        <w:t>maintenus</w:t>
      </w:r>
      <w:r w:rsidR="000E0AFC" w:rsidRPr="00D23690">
        <w:t xml:space="preserve"> en isol</w:t>
      </w:r>
      <w:r w:rsidR="00676BB0" w:rsidRPr="00D23690">
        <w:t>e</w:t>
      </w:r>
      <w:r w:rsidR="000E0AFC" w:rsidRPr="00D23690">
        <w:t>ment au sein de l</w:t>
      </w:r>
      <w:r>
        <w:t>’</w:t>
      </w:r>
      <w:r w:rsidR="000E0AFC" w:rsidRPr="00D23690">
        <w:t>hôpital</w:t>
      </w:r>
      <w:r w:rsidR="00676BB0" w:rsidRPr="00D23690">
        <w:t xml:space="preserve"> et que</w:t>
      </w:r>
      <w:r w:rsidR="00963849" w:rsidRPr="00D23690">
        <w:t xml:space="preserve"> l</w:t>
      </w:r>
      <w:r w:rsidR="00D43215" w:rsidRPr="00D23690">
        <w:t>es deux enfants étaient placés dans la même chambre</w:t>
      </w:r>
      <w:r w:rsidR="00963849" w:rsidRPr="00D23690">
        <w:t xml:space="preserve"> que leur mère</w:t>
      </w:r>
      <w:r w:rsidR="00D43215" w:rsidRPr="00D23690">
        <w:t>.</w:t>
      </w:r>
      <w:r w:rsidR="00543B83" w:rsidRPr="00D23690">
        <w:t xml:space="preserve"> </w:t>
      </w:r>
      <w:r w:rsidR="0014253D" w:rsidRPr="00D23690">
        <w:t>Il indique également que l</w:t>
      </w:r>
      <w:r w:rsidR="00543B83" w:rsidRPr="00D23690">
        <w:t>es médecins de l</w:t>
      </w:r>
      <w:r>
        <w:t>’</w:t>
      </w:r>
      <w:r w:rsidR="00543B83" w:rsidRPr="00D23690">
        <w:t>hôpital</w:t>
      </w:r>
      <w:r w:rsidR="0014253D" w:rsidRPr="00D23690">
        <w:t xml:space="preserve"> </w:t>
      </w:r>
      <w:r w:rsidR="00543B83" w:rsidRPr="00D23690">
        <w:t>a</w:t>
      </w:r>
      <w:r w:rsidR="0014253D" w:rsidRPr="00D23690">
        <w:t>v</w:t>
      </w:r>
      <w:r w:rsidR="00543B83" w:rsidRPr="00D23690">
        <w:t xml:space="preserve">aient affirmé </w:t>
      </w:r>
      <w:r w:rsidR="0014253D" w:rsidRPr="00D23690">
        <w:t xml:space="preserve">aux requérants </w:t>
      </w:r>
      <w:r w:rsidR="00543B83" w:rsidRPr="00D23690">
        <w:t xml:space="preserve">que leur </w:t>
      </w:r>
      <w:r w:rsidR="0014253D" w:rsidRPr="00D23690">
        <w:t>admission</w:t>
      </w:r>
      <w:r w:rsidR="00543B83" w:rsidRPr="00D23690">
        <w:t xml:space="preserve"> avait pour but</w:t>
      </w:r>
      <w:r w:rsidR="00F77B27" w:rsidRPr="00D23690">
        <w:t>s</w:t>
      </w:r>
      <w:r w:rsidR="00543B83" w:rsidRPr="00D23690">
        <w:t xml:space="preserve"> de confirmer ou d</w:t>
      </w:r>
      <w:r>
        <w:t>’</w:t>
      </w:r>
      <w:r w:rsidR="00543B83" w:rsidRPr="00D23690">
        <w:t xml:space="preserve">exclure </w:t>
      </w:r>
      <w:r w:rsidR="00586B6E" w:rsidRPr="00D23690">
        <w:t>les</w:t>
      </w:r>
      <w:r w:rsidR="00543B83" w:rsidRPr="00D23690">
        <w:t xml:space="preserve"> soupçon</w:t>
      </w:r>
      <w:r w:rsidR="00586B6E" w:rsidRPr="00D23690">
        <w:t>s</w:t>
      </w:r>
      <w:r w:rsidR="00543B83" w:rsidRPr="00D23690">
        <w:t xml:space="preserve"> concernant la maladie et de leur administrer un traitement à des fins préventives</w:t>
      </w:r>
      <w:r w:rsidR="0014253D" w:rsidRPr="00D23690">
        <w:t>, que ces</w:t>
      </w:r>
      <w:r w:rsidR="00404D22" w:rsidRPr="00D23690">
        <w:t xml:space="preserve"> médecins </w:t>
      </w:r>
      <w:r w:rsidR="0014253D" w:rsidRPr="00D23690">
        <w:t xml:space="preserve">les </w:t>
      </w:r>
      <w:r w:rsidR="00404D22" w:rsidRPr="00D23690">
        <w:t>a</w:t>
      </w:r>
      <w:r w:rsidR="0014253D" w:rsidRPr="00D23690">
        <w:t>v</w:t>
      </w:r>
      <w:r w:rsidR="00404D22" w:rsidRPr="00D23690">
        <w:t>aient aussi prévenu</w:t>
      </w:r>
      <w:r w:rsidR="00135EF2" w:rsidRPr="00D23690">
        <w:t>s</w:t>
      </w:r>
      <w:r w:rsidR="00404D22" w:rsidRPr="00D23690">
        <w:t xml:space="preserve"> du risque des</w:t>
      </w:r>
      <w:r w:rsidR="0014253D" w:rsidRPr="00D23690">
        <w:t xml:space="preserve"> éventuels</w:t>
      </w:r>
      <w:r w:rsidR="00404D22" w:rsidRPr="00D23690">
        <w:t xml:space="preserve"> effets secondaires</w:t>
      </w:r>
      <w:r w:rsidR="0014253D" w:rsidRPr="00D23690">
        <w:t>, et que l</w:t>
      </w:r>
      <w:r w:rsidR="00404D22" w:rsidRPr="00D23690">
        <w:t>es requérants a</w:t>
      </w:r>
      <w:r w:rsidR="0014253D" w:rsidRPr="00D23690">
        <w:t>v</w:t>
      </w:r>
      <w:r w:rsidR="00404D22" w:rsidRPr="00D23690">
        <w:t>aient donné par écrit leur consentement pour se soumettre à la thérapie proposée.</w:t>
      </w:r>
    </w:p>
    <w:p w:rsidR="00221F58" w:rsidRPr="00D23690" w:rsidRDefault="00F72410" w:rsidP="00221F58">
      <w:pPr>
        <w:pStyle w:val="ECHRPara"/>
      </w:pPr>
      <w:fldSimple w:instr=" SEQ level0 \*arabic ">
        <w:r w:rsidR="00886CF1">
          <w:rPr>
            <w:noProof/>
          </w:rPr>
          <w:t>11</w:t>
        </w:r>
      </w:fldSimple>
      <w:r w:rsidR="008D61E3" w:rsidRPr="00D23690">
        <w:t>.  </w:t>
      </w:r>
      <w:r w:rsidR="00221F58" w:rsidRPr="00D23690">
        <w:t>Le 20 mai 2011, plusieurs articles parurent dans la presse</w:t>
      </w:r>
      <w:r w:rsidR="00F41465" w:rsidRPr="00D23690">
        <w:t>,</w:t>
      </w:r>
      <w:r w:rsidR="00221F58" w:rsidRPr="00D23690">
        <w:t xml:space="preserve"> faisant état de quatre cas de lèpre dans la région d</w:t>
      </w:r>
      <w:r>
        <w:t>’</w:t>
      </w:r>
      <w:r w:rsidR="00221F58" w:rsidRPr="00D23690">
        <w:t>Agrinio, dont deux enfants scolarisés à l</w:t>
      </w:r>
      <w:r>
        <w:t>’</w:t>
      </w:r>
      <w:r w:rsidR="00221F58" w:rsidRPr="00D23690">
        <w:t>école primaire région</w:t>
      </w:r>
      <w:r w:rsidR="00277EB3" w:rsidRPr="00D23690">
        <w:t>ale</w:t>
      </w:r>
      <w:r w:rsidR="00221F58" w:rsidRPr="00D23690">
        <w:t xml:space="preserve">. Certains articles reproduisaient des déclarations du chef </w:t>
      </w:r>
      <w:r w:rsidR="00D404A2" w:rsidRPr="00D23690">
        <w:t xml:space="preserve">de la </w:t>
      </w:r>
      <w:r w:rsidR="006B32F1" w:rsidRPr="00D23690">
        <w:t>d</w:t>
      </w:r>
      <w:r w:rsidR="00D404A2" w:rsidRPr="00D23690">
        <w:t xml:space="preserve">irection de la </w:t>
      </w:r>
      <w:r w:rsidR="006B32F1" w:rsidRPr="00D23690">
        <w:t>s</w:t>
      </w:r>
      <w:r w:rsidR="00D404A2" w:rsidRPr="00D23690">
        <w:t xml:space="preserve">anté </w:t>
      </w:r>
      <w:r w:rsidR="006B32F1" w:rsidRPr="00D23690">
        <w:t>p</w:t>
      </w:r>
      <w:r w:rsidR="00221F58" w:rsidRPr="00D23690">
        <w:t xml:space="preserve">ublique de la </w:t>
      </w:r>
      <w:r w:rsidR="00721C95" w:rsidRPr="00D23690">
        <w:t>r</w:t>
      </w:r>
      <w:r w:rsidR="00221F58" w:rsidRPr="00D23690">
        <w:t>égion de la Grèce de l</w:t>
      </w:r>
      <w:r>
        <w:t>’</w:t>
      </w:r>
      <w:r w:rsidR="00285A69" w:rsidRPr="00D23690">
        <w:t>O</w:t>
      </w:r>
      <w:r w:rsidR="00221F58" w:rsidRPr="00D23690">
        <w:t>uest et d</w:t>
      </w:r>
      <w:r>
        <w:t>’</w:t>
      </w:r>
      <w:r w:rsidR="00221F58" w:rsidRPr="00D23690">
        <w:t xml:space="preserve">autres </w:t>
      </w:r>
      <w:r w:rsidR="00871017" w:rsidRPr="00D23690">
        <w:t>indiquaient</w:t>
      </w:r>
      <w:r w:rsidR="00221F58" w:rsidRPr="00D23690">
        <w:t xml:space="preserve"> que les malades étaient des « migrants clandestins »</w:t>
      </w:r>
      <w:r w:rsidR="00004029" w:rsidRPr="00D23690">
        <w:t>, les</w:t>
      </w:r>
      <w:r w:rsidR="00F41465" w:rsidRPr="00D23690">
        <w:t xml:space="preserve"> qualifi</w:t>
      </w:r>
      <w:r w:rsidR="00004029" w:rsidRPr="00D23690">
        <w:t>ant</w:t>
      </w:r>
      <w:r w:rsidR="00F41465" w:rsidRPr="00D23690">
        <w:t xml:space="preserve"> de</w:t>
      </w:r>
      <w:r w:rsidR="00221F58" w:rsidRPr="00D23690">
        <w:t xml:space="preserve"> population </w:t>
      </w:r>
      <w:r w:rsidR="00F41465" w:rsidRPr="00D23690">
        <w:t>représentant</w:t>
      </w:r>
      <w:r w:rsidR="00221F58" w:rsidRPr="00D23690">
        <w:t xml:space="preserve"> un risque sanitaire. Le même jour, la chaîne de télévision MEGA rapporta </w:t>
      </w:r>
      <w:r w:rsidR="00894AC2" w:rsidRPr="00D23690">
        <w:t>dans son</w:t>
      </w:r>
      <w:r w:rsidR="00221F58" w:rsidRPr="00D23690">
        <w:t xml:space="preserve"> bulletin d</w:t>
      </w:r>
      <w:r>
        <w:t>’</w:t>
      </w:r>
      <w:r w:rsidR="00221F58" w:rsidRPr="00D23690">
        <w:t>information principal le cas des requérants. Interrogé par ces derniers sur la source de ces informations, le directeur de la clinique dermatologique leur répondit qu</w:t>
      </w:r>
      <w:r>
        <w:t>’</w:t>
      </w:r>
      <w:r w:rsidR="00F41465" w:rsidRPr="00D23690">
        <w:t>il s</w:t>
      </w:r>
      <w:r>
        <w:t>’</w:t>
      </w:r>
      <w:r w:rsidR="00F41465" w:rsidRPr="00D23690">
        <w:t>agissait du</w:t>
      </w:r>
      <w:r w:rsidR="00221F58" w:rsidRPr="00D23690">
        <w:t xml:space="preserve"> ministère de la Santé.</w:t>
      </w:r>
    </w:p>
    <w:p w:rsidR="00FA6D18" w:rsidRPr="00D23690" w:rsidRDefault="00F72410" w:rsidP="00221F58">
      <w:pPr>
        <w:pStyle w:val="ECHRPara"/>
      </w:pPr>
      <w:fldSimple w:instr=" SEQ level0 \*arabic ">
        <w:r w:rsidR="00886CF1">
          <w:rPr>
            <w:noProof/>
          </w:rPr>
          <w:t>12</w:t>
        </w:r>
      </w:fldSimple>
      <w:r w:rsidR="00FA6D18" w:rsidRPr="00D23690">
        <w:t>.  </w:t>
      </w:r>
      <w:r w:rsidR="00531307" w:rsidRPr="00D23690">
        <w:t>Dans ses observations devant la Cour, l</w:t>
      </w:r>
      <w:r w:rsidR="00FA6D18" w:rsidRPr="00D23690">
        <w:t>e Gouvernement affirme qu</w:t>
      </w:r>
      <w:r>
        <w:t>’</w:t>
      </w:r>
      <w:r w:rsidR="00FA6D18" w:rsidRPr="00D23690">
        <w:t xml:space="preserve">aucun des membres </w:t>
      </w:r>
      <w:r w:rsidR="00730EF4" w:rsidRPr="00D23690">
        <w:t xml:space="preserve">de la clinique </w:t>
      </w:r>
      <w:r w:rsidR="00FA6D18" w:rsidRPr="00D23690">
        <w:t>dermatologique de l</w:t>
      </w:r>
      <w:r>
        <w:t>’</w:t>
      </w:r>
      <w:r w:rsidR="00FA6D18" w:rsidRPr="00D23690">
        <w:t>hôpital n</w:t>
      </w:r>
      <w:r>
        <w:t>’</w:t>
      </w:r>
      <w:r w:rsidR="00B23589" w:rsidRPr="00D23690">
        <w:t xml:space="preserve">avait </w:t>
      </w:r>
      <w:r w:rsidR="00FA6D18" w:rsidRPr="00D23690">
        <w:t>inform</w:t>
      </w:r>
      <w:r w:rsidR="00B23589" w:rsidRPr="00D23690">
        <w:t>é</w:t>
      </w:r>
      <w:r w:rsidR="00FA6D18" w:rsidRPr="00D23690">
        <w:t xml:space="preserve"> les médias de l</w:t>
      </w:r>
      <w:r>
        <w:t>’</w:t>
      </w:r>
      <w:r w:rsidR="00730EF4" w:rsidRPr="00D23690">
        <w:t xml:space="preserve">état des requérants. A la suite du reportage de la chaîne de télévision MEGA, et répondant à une question des </w:t>
      </w:r>
      <w:r w:rsidR="00B23589" w:rsidRPr="00D23690">
        <w:t>intéressés</w:t>
      </w:r>
      <w:r w:rsidR="00730EF4" w:rsidRPr="00D23690">
        <w:t xml:space="preserve"> à ce sujet, les médecins et le directeur de la clinique dermatologique </w:t>
      </w:r>
      <w:r w:rsidR="00EA51E7" w:rsidRPr="00D23690">
        <w:t>indiquèrent</w:t>
      </w:r>
      <w:r w:rsidR="00A87CB7" w:rsidRPr="00D23690">
        <w:t xml:space="preserve"> à ceux-ci</w:t>
      </w:r>
      <w:r w:rsidR="00730EF4" w:rsidRPr="00D23690">
        <w:t xml:space="preserve"> </w:t>
      </w:r>
      <w:r w:rsidR="003141BB" w:rsidRPr="00D23690">
        <w:t>qu</w:t>
      </w:r>
      <w:r>
        <w:t>’</w:t>
      </w:r>
      <w:r w:rsidR="003141BB" w:rsidRPr="00D23690">
        <w:t>aucune information les concernant n</w:t>
      </w:r>
      <w:r>
        <w:t>’</w:t>
      </w:r>
      <w:r w:rsidR="003141BB" w:rsidRPr="00D23690">
        <w:t xml:space="preserve">avait </w:t>
      </w:r>
      <w:r w:rsidR="00B23589" w:rsidRPr="00D23690">
        <w:t>été transmise à</w:t>
      </w:r>
      <w:r w:rsidR="003141BB" w:rsidRPr="00D23690">
        <w:t xml:space="preserve"> la presse.</w:t>
      </w:r>
    </w:p>
    <w:p w:rsidR="00F72410" w:rsidRDefault="00F72410" w:rsidP="00221F58">
      <w:pPr>
        <w:pStyle w:val="ECHRPara"/>
      </w:pPr>
      <w:fldSimple w:instr=" SEQ level0 \*arabic ">
        <w:r w:rsidR="00886CF1">
          <w:rPr>
            <w:noProof/>
          </w:rPr>
          <w:t>13</w:t>
        </w:r>
      </w:fldSimple>
      <w:r w:rsidR="008D61E3" w:rsidRPr="00D23690">
        <w:t>.  </w:t>
      </w:r>
      <w:r w:rsidR="00221F58" w:rsidRPr="00D23690">
        <w:t xml:space="preserve">A compter du 21 mai 2011, les deuxième, troisième et quatrième requérants commencèrent à </w:t>
      </w:r>
      <w:r w:rsidR="00F13ACD" w:rsidRPr="00D23690">
        <w:t>prendre</w:t>
      </w:r>
      <w:r w:rsidR="00221F58" w:rsidRPr="00D23690">
        <w:t xml:space="preserve"> le traitement </w:t>
      </w:r>
      <w:r w:rsidR="001A419C" w:rsidRPr="00D23690">
        <w:t>médical prévu</w:t>
      </w:r>
      <w:r w:rsidR="00221F58" w:rsidRPr="00D23690">
        <w:t xml:space="preserve">. Ce traitement entraîna immédiatement des effets secondaires sur la </w:t>
      </w:r>
      <w:r w:rsidR="00B23589" w:rsidRPr="00D23690">
        <w:t xml:space="preserve">personne de la </w:t>
      </w:r>
      <w:r w:rsidR="00221F58" w:rsidRPr="00D23690">
        <w:t>quatrième requérante</w:t>
      </w:r>
      <w:r w:rsidR="00B857E4" w:rsidRPr="00D23690">
        <w:t>, notamment un taux anormalement bas d</w:t>
      </w:r>
      <w:r>
        <w:t>’</w:t>
      </w:r>
      <w:r w:rsidR="00B857E4" w:rsidRPr="00D23690">
        <w:t>hématocrite</w:t>
      </w:r>
      <w:r w:rsidR="003A0C51" w:rsidRPr="00D23690">
        <w:t> ; s</w:t>
      </w:r>
      <w:r w:rsidR="00B857E4" w:rsidRPr="00D23690">
        <w:t>uite à un traitement avec du fer, ce taux se stabilisa jusqu</w:t>
      </w:r>
      <w:r>
        <w:t>’</w:t>
      </w:r>
      <w:r w:rsidR="00B857E4" w:rsidRPr="00D23690">
        <w:t>à la sortie de l</w:t>
      </w:r>
      <w:r>
        <w:t>’</w:t>
      </w:r>
      <w:r w:rsidR="003A0C51" w:rsidRPr="00D23690">
        <w:t>intéressée</w:t>
      </w:r>
      <w:r w:rsidR="00B857E4" w:rsidRPr="00D23690">
        <w:t xml:space="preserve"> de l</w:t>
      </w:r>
      <w:r>
        <w:t>’</w:t>
      </w:r>
      <w:r w:rsidR="00B857E4" w:rsidRPr="00D23690">
        <w:t>hôpital.</w:t>
      </w:r>
    </w:p>
    <w:p w:rsidR="00221F58" w:rsidRPr="00D23690" w:rsidRDefault="00F72410" w:rsidP="00221F58">
      <w:pPr>
        <w:pStyle w:val="ECHRPara"/>
      </w:pPr>
      <w:fldSimple w:instr=" SEQ level0 \*arabic ">
        <w:r w:rsidR="00886CF1">
          <w:rPr>
            <w:noProof/>
          </w:rPr>
          <w:t>14</w:t>
        </w:r>
      </w:fldSimple>
      <w:r w:rsidR="008D61E3" w:rsidRPr="00D23690">
        <w:t>.  </w:t>
      </w:r>
      <w:r w:rsidR="00221F58" w:rsidRPr="00D23690">
        <w:t xml:space="preserve">Le 25 mai 2011, les autorités sanitaires de la </w:t>
      </w:r>
      <w:r w:rsidR="00721C95" w:rsidRPr="00D23690">
        <w:t>r</w:t>
      </w:r>
      <w:r w:rsidR="00221F58" w:rsidRPr="00D23690">
        <w:t>égion d</w:t>
      </w:r>
      <w:r>
        <w:t>’</w:t>
      </w:r>
      <w:r w:rsidR="00221F58" w:rsidRPr="00D23690">
        <w:t xml:space="preserve">Aitoloakarnania procédèrent à un examen visuel des camarades de classe des troisième et quatrième requérants, ainsi que des membres de la famille </w:t>
      </w:r>
      <w:r w:rsidR="00721C95" w:rsidRPr="00D23690">
        <w:t xml:space="preserve">pour laquelle </w:t>
      </w:r>
      <w:r w:rsidR="00221F58" w:rsidRPr="00D23690">
        <w:t xml:space="preserve">la seconde requérante travaillait en tant que femme de ménage, tout en informant </w:t>
      </w:r>
      <w:r w:rsidR="00721C95" w:rsidRPr="00D23690">
        <w:t xml:space="preserve">ces personnes </w:t>
      </w:r>
      <w:r w:rsidR="00221F58" w:rsidRPr="00D23690">
        <w:t xml:space="preserve">que </w:t>
      </w:r>
      <w:r w:rsidR="003E5079" w:rsidRPr="00D23690">
        <w:t>l</w:t>
      </w:r>
      <w:r>
        <w:t>’</w:t>
      </w:r>
      <w:r w:rsidR="00221F58" w:rsidRPr="00D23690">
        <w:t xml:space="preserve">examen avait lieu </w:t>
      </w:r>
      <w:r w:rsidR="00721C95" w:rsidRPr="00D23690">
        <w:t>en raison de l</w:t>
      </w:r>
      <w:r>
        <w:t>’</w:t>
      </w:r>
      <w:r w:rsidR="00221F58" w:rsidRPr="00D23690">
        <w:t>atteint</w:t>
      </w:r>
      <w:r w:rsidR="00721C95" w:rsidRPr="00D23690">
        <w:t>e des requérants par</w:t>
      </w:r>
      <w:r w:rsidR="00221F58" w:rsidRPr="00D23690">
        <w:t xml:space="preserve"> la lèpre.</w:t>
      </w:r>
      <w:r w:rsidR="006036EC" w:rsidRPr="00D23690">
        <w:t xml:space="preserve"> </w:t>
      </w:r>
      <w:r w:rsidR="003E5079" w:rsidRPr="00D23690">
        <w:t>D</w:t>
      </w:r>
      <w:r>
        <w:t>’</w:t>
      </w:r>
      <w:r w:rsidR="003E5079" w:rsidRPr="00D23690">
        <w:t>après l</w:t>
      </w:r>
      <w:r w:rsidR="00721C95" w:rsidRPr="00D23690">
        <w:t>e Gouvernement</w:t>
      </w:r>
      <w:r w:rsidR="003E5079" w:rsidRPr="00D23690">
        <w:t>,</w:t>
      </w:r>
      <w:r w:rsidR="00721C95" w:rsidRPr="00D23690">
        <w:t xml:space="preserve"> </w:t>
      </w:r>
      <w:r w:rsidR="006036EC" w:rsidRPr="00D23690">
        <w:t>les autorités étaient obligées de procéder à ce</w:t>
      </w:r>
      <w:r w:rsidR="00721C95" w:rsidRPr="00D23690">
        <w:t>t</w:t>
      </w:r>
      <w:r w:rsidR="006036EC" w:rsidRPr="00D23690">
        <w:t xml:space="preserve"> examen sur le fondement de l</w:t>
      </w:r>
      <w:r>
        <w:t>’</w:t>
      </w:r>
      <w:r w:rsidR="006036EC" w:rsidRPr="00D23690">
        <w:t>article 1 § 2 de la loi n</w:t>
      </w:r>
      <w:r w:rsidR="00D23690" w:rsidRPr="00D23690">
        <w:rPr>
          <w:vertAlign w:val="superscript"/>
        </w:rPr>
        <w:t>o</w:t>
      </w:r>
      <w:r w:rsidR="006036EC" w:rsidRPr="00D23690">
        <w:t xml:space="preserve"> 1137/1981 </w:t>
      </w:r>
      <w:r w:rsidR="00CD5555" w:rsidRPr="00D23690">
        <w:t>relative à l</w:t>
      </w:r>
      <w:r>
        <w:t>’</w:t>
      </w:r>
      <w:r w:rsidR="00CD5555" w:rsidRPr="00D23690">
        <w:t>hospitalisation et à la protection sociale des personnes atteintes de la maladie de Hansen</w:t>
      </w:r>
      <w:r w:rsidR="00141894" w:rsidRPr="00D23690">
        <w:t xml:space="preserve"> en raison </w:t>
      </w:r>
      <w:r w:rsidR="00731BBF" w:rsidRPr="00D23690">
        <w:t xml:space="preserve">du résultat positif </w:t>
      </w:r>
      <w:r w:rsidR="00141894" w:rsidRPr="00D23690">
        <w:t>des tests de dépistage pour les plaignants,</w:t>
      </w:r>
      <w:r w:rsidR="00CD5555" w:rsidRPr="00D23690">
        <w:t>.</w:t>
      </w:r>
    </w:p>
    <w:p w:rsidR="00221F58" w:rsidRPr="00D23690" w:rsidRDefault="00F72410" w:rsidP="00221F58">
      <w:pPr>
        <w:pStyle w:val="ECHRPara"/>
      </w:pPr>
      <w:fldSimple w:instr=" SEQ level0 \*arabic ">
        <w:r w:rsidR="00886CF1">
          <w:rPr>
            <w:noProof/>
          </w:rPr>
          <w:t>15</w:t>
        </w:r>
      </w:fldSimple>
      <w:r w:rsidR="008D61E3" w:rsidRPr="00D23690">
        <w:t>.  </w:t>
      </w:r>
      <w:r w:rsidR="00221F58" w:rsidRPr="00D23690">
        <w:t>Les requérants furent autorisés à quitter l</w:t>
      </w:r>
      <w:r>
        <w:t>’</w:t>
      </w:r>
      <w:r w:rsidR="00221F58" w:rsidRPr="00D23690">
        <w:t xml:space="preserve">hôpital de </w:t>
      </w:r>
      <w:r w:rsidR="007039CF" w:rsidRPr="00D23690">
        <w:t>Rion</w:t>
      </w:r>
      <w:r w:rsidR="00221F58" w:rsidRPr="00D23690">
        <w:t xml:space="preserve"> le 2 juin 2011.</w:t>
      </w:r>
      <w:r w:rsidR="00D404A2" w:rsidRPr="00D23690">
        <w:t xml:space="preserve"> Le chef de la </w:t>
      </w:r>
      <w:r w:rsidR="00721C95" w:rsidRPr="00D23690">
        <w:t>d</w:t>
      </w:r>
      <w:r w:rsidR="00D404A2" w:rsidRPr="00D23690">
        <w:t xml:space="preserve">irection de la </w:t>
      </w:r>
      <w:r w:rsidR="00721C95" w:rsidRPr="00D23690">
        <w:t>s</w:t>
      </w:r>
      <w:r w:rsidR="00D404A2" w:rsidRPr="00D23690">
        <w:t xml:space="preserve">anté </w:t>
      </w:r>
      <w:r w:rsidR="00721C95" w:rsidRPr="00D23690">
        <w:t>p</w:t>
      </w:r>
      <w:r w:rsidR="00221F58" w:rsidRPr="00D23690">
        <w:t xml:space="preserve">ublique de la </w:t>
      </w:r>
      <w:r w:rsidR="00721C95" w:rsidRPr="00D23690">
        <w:t>r</w:t>
      </w:r>
      <w:r w:rsidR="00221F58" w:rsidRPr="00D23690">
        <w:t>égion de la Grèce de l</w:t>
      </w:r>
      <w:r>
        <w:t>’</w:t>
      </w:r>
      <w:r w:rsidR="00285A69" w:rsidRPr="00D23690">
        <w:t>O</w:t>
      </w:r>
      <w:r w:rsidR="00221F58" w:rsidRPr="00D23690">
        <w:t xml:space="preserve">uest les avertit que les </w:t>
      </w:r>
      <w:r w:rsidR="00316384" w:rsidRPr="00D23690">
        <w:t>requérants</w:t>
      </w:r>
      <w:r w:rsidR="007620E6" w:rsidRPr="00D23690">
        <w:t xml:space="preserve"> mineurs</w:t>
      </w:r>
      <w:r w:rsidR="00221F58" w:rsidRPr="00D23690">
        <w:t xml:space="preserve"> </w:t>
      </w:r>
      <w:r w:rsidR="00316384" w:rsidRPr="00D23690">
        <w:t xml:space="preserve">ne </w:t>
      </w:r>
      <w:r w:rsidR="00221F58" w:rsidRPr="00D23690">
        <w:t>devaient plus se rendre à l</w:t>
      </w:r>
      <w:r>
        <w:t>’</w:t>
      </w:r>
      <w:r w:rsidR="00221F58" w:rsidRPr="00D23690">
        <w:t>école et qu</w:t>
      </w:r>
      <w:r>
        <w:t>’</w:t>
      </w:r>
      <w:r w:rsidR="00221F58" w:rsidRPr="00D23690">
        <w:t>ils devaient tous se rendre à l</w:t>
      </w:r>
      <w:r>
        <w:t>’</w:t>
      </w:r>
      <w:r w:rsidR="00221F58" w:rsidRPr="00D23690">
        <w:t>hôpital d</w:t>
      </w:r>
      <w:r>
        <w:t>’</w:t>
      </w:r>
      <w:r w:rsidR="00221F58" w:rsidRPr="00D23690">
        <w:t xml:space="preserve">Agrinio une fois par semaine pour se soumettre à des examens et prendre leur traitement. </w:t>
      </w:r>
      <w:r w:rsidR="00C24B6D" w:rsidRPr="00D23690">
        <w:t>Dans</w:t>
      </w:r>
      <w:r w:rsidR="00221F58" w:rsidRPr="00D23690">
        <w:t xml:space="preserve"> une lettre </w:t>
      </w:r>
      <w:r w:rsidR="008D4C88" w:rsidRPr="00D23690">
        <w:t>datée du même jour et</w:t>
      </w:r>
      <w:r w:rsidR="00221F58" w:rsidRPr="00D23690">
        <w:t xml:space="preserve"> adressée au directeur de l</w:t>
      </w:r>
      <w:r>
        <w:t>’</w:t>
      </w:r>
      <w:r w:rsidR="00221F58" w:rsidRPr="00D23690">
        <w:t xml:space="preserve">école où étaient scolarisés les deux enfants, le chef de </w:t>
      </w:r>
      <w:r w:rsidR="00316384" w:rsidRPr="00D23690">
        <w:t>ladite d</w:t>
      </w:r>
      <w:r w:rsidR="00221F58" w:rsidRPr="00D23690">
        <w:t xml:space="preserve">irection </w:t>
      </w:r>
      <w:r w:rsidR="00C24B6D" w:rsidRPr="00D23690">
        <w:t>indiqua</w:t>
      </w:r>
      <w:r w:rsidR="00221F58" w:rsidRPr="00D23690">
        <w:t xml:space="preserve"> que « la scolarité des deux élèves se poursuivrait après que la commission prévue </w:t>
      </w:r>
      <w:r w:rsidR="009D6FA8" w:rsidRPr="00D23690">
        <w:t>à</w:t>
      </w:r>
      <w:r w:rsidR="00221F58" w:rsidRPr="00D23690">
        <w:t xml:space="preserve"> l</w:t>
      </w:r>
      <w:r>
        <w:t>’</w:t>
      </w:r>
      <w:r w:rsidR="00221F58" w:rsidRPr="00D23690">
        <w:t>article 8 de la loi n</w:t>
      </w:r>
      <w:r w:rsidR="00D23690" w:rsidRPr="00D23690">
        <w:rPr>
          <w:vertAlign w:val="superscript"/>
        </w:rPr>
        <w:t>o</w:t>
      </w:r>
      <w:r w:rsidR="00221F58" w:rsidRPr="00D23690">
        <w:t> 1137/1981 ait donné son avis ».</w:t>
      </w:r>
    </w:p>
    <w:p w:rsidR="00F72410" w:rsidRDefault="00F72410" w:rsidP="00221F58">
      <w:pPr>
        <w:pStyle w:val="ECHRPara"/>
      </w:pPr>
      <w:fldSimple w:instr=" SEQ level0 \*arabic ">
        <w:r w:rsidR="00886CF1">
          <w:rPr>
            <w:noProof/>
          </w:rPr>
          <w:t>16</w:t>
        </w:r>
      </w:fldSimple>
      <w:r w:rsidR="00344CD9" w:rsidRPr="00D23690">
        <w:t>.  </w:t>
      </w:r>
      <w:r w:rsidR="008B097F" w:rsidRPr="00D23690">
        <w:t>Dans une décision du</w:t>
      </w:r>
      <w:r w:rsidR="00A22A25" w:rsidRPr="00D23690">
        <w:t xml:space="preserve"> 6 juin 2011,</w:t>
      </w:r>
      <w:r w:rsidR="00D404A2" w:rsidRPr="00D23690">
        <w:t xml:space="preserve"> </w:t>
      </w:r>
      <w:r w:rsidR="005B54AD" w:rsidRPr="00D23690">
        <w:t>ce même responsable</w:t>
      </w:r>
      <w:r w:rsidR="00A22A25" w:rsidRPr="00D23690">
        <w:t xml:space="preserve"> </w:t>
      </w:r>
      <w:r w:rsidR="008B097F" w:rsidRPr="00D23690">
        <w:t>enjoignit aux requérants d</w:t>
      </w:r>
      <w:r>
        <w:t>’</w:t>
      </w:r>
      <w:r w:rsidR="008B097F" w:rsidRPr="00D23690">
        <w:t>effectuer des prises de sang hebdomadaires à l</w:t>
      </w:r>
      <w:r>
        <w:t>’</w:t>
      </w:r>
      <w:r w:rsidR="008B097F" w:rsidRPr="00D23690">
        <w:t>hôpital d</w:t>
      </w:r>
      <w:r>
        <w:t>’</w:t>
      </w:r>
      <w:r w:rsidR="008B097F" w:rsidRPr="00D23690">
        <w:t>Agrinio</w:t>
      </w:r>
      <w:r w:rsidR="00A22A25" w:rsidRPr="00D23690">
        <w:t xml:space="preserve">. Dans </w:t>
      </w:r>
      <w:r w:rsidR="005B54AD" w:rsidRPr="00D23690">
        <w:t>cette</w:t>
      </w:r>
      <w:r w:rsidR="00A22A25" w:rsidRPr="00D23690">
        <w:t xml:space="preserve"> décision, il était précisé que les requérants ne </w:t>
      </w:r>
      <w:r w:rsidR="00316384" w:rsidRPr="00D23690">
        <w:t xml:space="preserve">présentaient aucun </w:t>
      </w:r>
      <w:r w:rsidR="00A22A25" w:rsidRPr="00D23690">
        <w:t>risqu</w:t>
      </w:r>
      <w:r w:rsidR="00316384" w:rsidRPr="00D23690">
        <w:t>e de</w:t>
      </w:r>
      <w:r w:rsidR="00A22A25" w:rsidRPr="00D23690">
        <w:t xml:space="preserve"> contamin</w:t>
      </w:r>
      <w:r w:rsidR="00316384" w:rsidRPr="00D23690">
        <w:t>ation pour</w:t>
      </w:r>
      <w:r w:rsidR="00A22A25" w:rsidRPr="00D23690">
        <w:t xml:space="preserve"> ceux qui les approchaient.</w:t>
      </w:r>
    </w:p>
    <w:p w:rsidR="00F72410" w:rsidRDefault="00F72410" w:rsidP="00221F58">
      <w:pPr>
        <w:pStyle w:val="ECHRPara"/>
      </w:pPr>
      <w:fldSimple w:instr=" SEQ level0 \*arabic ">
        <w:r w:rsidR="00886CF1">
          <w:rPr>
            <w:noProof/>
          </w:rPr>
          <w:t>17</w:t>
        </w:r>
      </w:fldSimple>
      <w:r w:rsidR="008D61E3" w:rsidRPr="00D23690">
        <w:t>.  </w:t>
      </w:r>
      <w:r w:rsidR="00221F58" w:rsidRPr="00D23690">
        <w:t>Le 9 juin 2011, alors que les requérants s</w:t>
      </w:r>
      <w:r>
        <w:t>’</w:t>
      </w:r>
      <w:r w:rsidR="00221F58" w:rsidRPr="00D23690">
        <w:t>étaient rendus à l</w:t>
      </w:r>
      <w:r>
        <w:t>’</w:t>
      </w:r>
      <w:r w:rsidR="00221F58" w:rsidRPr="00D23690">
        <w:t>hôpital d</w:t>
      </w:r>
      <w:r>
        <w:t>’</w:t>
      </w:r>
      <w:r w:rsidR="00221F58" w:rsidRPr="00D23690">
        <w:t>Agrinio,</w:t>
      </w:r>
      <w:r w:rsidR="00D404A2" w:rsidRPr="00D23690">
        <w:t xml:space="preserve"> le chef de la </w:t>
      </w:r>
      <w:r w:rsidR="00316384" w:rsidRPr="00D23690">
        <w:t>d</w:t>
      </w:r>
      <w:r w:rsidR="00D404A2" w:rsidRPr="00D23690">
        <w:t xml:space="preserve">irection </w:t>
      </w:r>
      <w:r w:rsidR="005B54AD" w:rsidRPr="00D23690">
        <w:t>susmentionnée</w:t>
      </w:r>
      <w:r w:rsidR="00221F58" w:rsidRPr="00D23690">
        <w:t xml:space="preserve"> les informa qu</w:t>
      </w:r>
      <w:r>
        <w:t>’</w:t>
      </w:r>
      <w:r w:rsidR="00221F58" w:rsidRPr="00D23690">
        <w:t>un nouveau médicament contre la lèpre était disponible à l</w:t>
      </w:r>
      <w:r>
        <w:t>’</w:t>
      </w:r>
      <w:r w:rsidR="00221F58" w:rsidRPr="00D23690">
        <w:t xml:space="preserve">hôpital de </w:t>
      </w:r>
      <w:r w:rsidR="007039CF" w:rsidRPr="00D23690">
        <w:t>Rion</w:t>
      </w:r>
      <w:r w:rsidR="00801738" w:rsidRPr="00D23690">
        <w:t>, à Patras,</w:t>
      </w:r>
      <w:r w:rsidR="00221F58" w:rsidRPr="00D23690">
        <w:t xml:space="preserve"> et qu</w:t>
      </w:r>
      <w:r>
        <w:t>’</w:t>
      </w:r>
      <w:r w:rsidR="00221F58" w:rsidRPr="00D23690">
        <w:t>ils devaient s</w:t>
      </w:r>
      <w:r>
        <w:t>’</w:t>
      </w:r>
      <w:r w:rsidR="00221F58" w:rsidRPr="00D23690">
        <w:t>y rendre pour se le procurer. Les requérants refusèrent de se rendre à cet hôpital. Rentrés chez eux, ils reçurent à 14 h</w:t>
      </w:r>
      <w:r w:rsidR="005B54AD" w:rsidRPr="00D23690">
        <w:t xml:space="preserve">eures </w:t>
      </w:r>
      <w:r w:rsidR="00221F58" w:rsidRPr="00D23690">
        <w:t xml:space="preserve">la visite du chef de cette </w:t>
      </w:r>
      <w:r w:rsidR="00E458E0" w:rsidRPr="00D23690">
        <w:t>d</w:t>
      </w:r>
      <w:r w:rsidR="00221F58" w:rsidRPr="00D23690">
        <w:t>irection</w:t>
      </w:r>
      <w:r w:rsidR="00EB079A" w:rsidRPr="00D23690">
        <w:t>. C</w:t>
      </w:r>
      <w:r w:rsidR="00287E88" w:rsidRPr="00D23690">
        <w:t>e dernier</w:t>
      </w:r>
      <w:r w:rsidR="00221F58" w:rsidRPr="00D23690">
        <w:t xml:space="preserve">, accompagné de policiers, incita </w:t>
      </w:r>
      <w:r w:rsidR="00EB079A" w:rsidRPr="00D23690">
        <w:t xml:space="preserve">les plaignants </w:t>
      </w:r>
      <w:r w:rsidR="00221F58" w:rsidRPr="00D23690">
        <w:t xml:space="preserve">à se rendre à cet hôpital et les </w:t>
      </w:r>
      <w:r w:rsidR="00E458E0" w:rsidRPr="00D23690">
        <w:t>prévint</w:t>
      </w:r>
      <w:r w:rsidR="00221F58" w:rsidRPr="00D23690">
        <w:t xml:space="preserve"> qu</w:t>
      </w:r>
      <w:r>
        <w:t>’</w:t>
      </w:r>
      <w:r w:rsidR="00221F58" w:rsidRPr="00D23690">
        <w:t xml:space="preserve">il les </w:t>
      </w:r>
      <w:r w:rsidR="00E458E0" w:rsidRPr="00D23690">
        <w:t>y conduirait</w:t>
      </w:r>
      <w:r w:rsidR="00221F58" w:rsidRPr="00D23690">
        <w:t xml:space="preserve"> lui-même avec l</w:t>
      </w:r>
      <w:r>
        <w:t>’</w:t>
      </w:r>
      <w:r w:rsidR="00221F58" w:rsidRPr="00D23690">
        <w:t>aide de la force publique</w:t>
      </w:r>
      <w:r w:rsidR="00EB079A" w:rsidRPr="00D23690">
        <w:t xml:space="preserve"> en cas de refus ; il ne mit</w:t>
      </w:r>
      <w:r w:rsidR="00E458E0" w:rsidRPr="00D23690">
        <w:t xml:space="preserve"> t</w:t>
      </w:r>
      <w:r w:rsidR="00221F58" w:rsidRPr="00D23690">
        <w:t xml:space="preserve">outefois pas </w:t>
      </w:r>
      <w:r w:rsidR="00E458E0" w:rsidRPr="00D23690">
        <w:t>ce dernier avertissement</w:t>
      </w:r>
      <w:r w:rsidR="00221F58" w:rsidRPr="00D23690">
        <w:t xml:space="preserve"> à exécution.</w:t>
      </w:r>
    </w:p>
    <w:p w:rsidR="00221F58" w:rsidRPr="00D23690" w:rsidRDefault="00F72410" w:rsidP="00221F58">
      <w:pPr>
        <w:pStyle w:val="ECHRPara"/>
      </w:pPr>
      <w:fldSimple w:instr=" SEQ level0 \*arabic ">
        <w:r w:rsidR="00886CF1">
          <w:rPr>
            <w:noProof/>
          </w:rPr>
          <w:t>18</w:t>
        </w:r>
      </w:fldSimple>
      <w:r w:rsidR="008D61E3" w:rsidRPr="00D23690">
        <w:t>.  </w:t>
      </w:r>
      <w:r w:rsidR="00E458E0" w:rsidRPr="00D23690">
        <w:t>La deuxième requérante présentant des marques sur le</w:t>
      </w:r>
      <w:r w:rsidR="00BA5226" w:rsidRPr="00D23690">
        <w:t xml:space="preserve"> corps et d</w:t>
      </w:r>
      <w:r w:rsidR="00E458E0" w:rsidRPr="00D23690">
        <w:t xml:space="preserve">es examens </w:t>
      </w:r>
      <w:r w:rsidR="00BA5226" w:rsidRPr="00D23690">
        <w:t>subis par</w:t>
      </w:r>
      <w:r w:rsidR="00E458E0" w:rsidRPr="00D23690">
        <w:t xml:space="preserve"> elle à l</w:t>
      </w:r>
      <w:r>
        <w:t>’</w:t>
      </w:r>
      <w:r w:rsidR="00E458E0" w:rsidRPr="00D23690">
        <w:t>hôpital d</w:t>
      </w:r>
      <w:r>
        <w:t>’</w:t>
      </w:r>
      <w:r w:rsidR="00E458E0" w:rsidRPr="00D23690">
        <w:t>Agrinio ayant établi l</w:t>
      </w:r>
      <w:r>
        <w:t>’</w:t>
      </w:r>
      <w:r w:rsidR="00E458E0" w:rsidRPr="00D23690">
        <w:t xml:space="preserve">existence de lésions aux reins et au foie, </w:t>
      </w:r>
      <w:r w:rsidR="00221F58" w:rsidRPr="00D23690">
        <w:t>les deux premiers requérants se rendirent de leur propre chef à l</w:t>
      </w:r>
      <w:r>
        <w:t>’</w:t>
      </w:r>
      <w:r w:rsidR="00221F58" w:rsidRPr="00D23690">
        <w:t xml:space="preserve">hôpital de </w:t>
      </w:r>
      <w:r w:rsidR="007039CF" w:rsidRPr="00D23690">
        <w:t>Rion</w:t>
      </w:r>
      <w:r w:rsidR="00E458E0" w:rsidRPr="00D23690">
        <w:t xml:space="preserve"> le 15 juin 2011</w:t>
      </w:r>
      <w:r w:rsidR="00221F58" w:rsidRPr="00D23690">
        <w:t xml:space="preserve">. Les nouveaux examens réalisés à </w:t>
      </w:r>
      <w:r w:rsidR="00E458E0" w:rsidRPr="00D23690">
        <w:t xml:space="preserve">cet </w:t>
      </w:r>
      <w:r w:rsidR="00221F58" w:rsidRPr="00D23690">
        <w:t xml:space="preserve">hôpital démontrèrent que ces problèmes avaient pour origine le traitement </w:t>
      </w:r>
      <w:r w:rsidR="00B870EA" w:rsidRPr="00D23690">
        <w:t>médical</w:t>
      </w:r>
      <w:r w:rsidR="00221F58" w:rsidRPr="00D23690">
        <w:t xml:space="preserve"> </w:t>
      </w:r>
      <w:r w:rsidR="00344CD9" w:rsidRPr="00D23690">
        <w:t xml:space="preserve">qui avait été </w:t>
      </w:r>
      <w:r w:rsidR="00221F58" w:rsidRPr="00D23690">
        <w:t>administré</w:t>
      </w:r>
      <w:r w:rsidR="00E458E0" w:rsidRPr="00D23690">
        <w:t xml:space="preserve"> à la deuxième requérante</w:t>
      </w:r>
      <w:r w:rsidR="00221F58" w:rsidRPr="00D23690">
        <w:t>. Les autorités de l</w:t>
      </w:r>
      <w:r>
        <w:t>’</w:t>
      </w:r>
      <w:r w:rsidR="00221F58" w:rsidRPr="00D23690">
        <w:t xml:space="preserve">hôpital tentèrent </w:t>
      </w:r>
      <w:r w:rsidR="00E57C59" w:rsidRPr="00D23690">
        <w:t>d</w:t>
      </w:r>
      <w:r>
        <w:t>’</w:t>
      </w:r>
      <w:r w:rsidR="00E961F7" w:rsidRPr="00D23690">
        <w:t>hospitaliser</w:t>
      </w:r>
      <w:r w:rsidR="00221F58" w:rsidRPr="00D23690">
        <w:t xml:space="preserve"> les </w:t>
      </w:r>
      <w:r w:rsidR="00E961F7" w:rsidRPr="00D23690">
        <w:t>intéressés</w:t>
      </w:r>
      <w:r w:rsidR="00242E8E" w:rsidRPr="00D23690">
        <w:t>,</w:t>
      </w:r>
      <w:r w:rsidR="00221F58" w:rsidRPr="00D23690">
        <w:t xml:space="preserve"> mais ces derniers s</w:t>
      </w:r>
      <w:r>
        <w:t>’</w:t>
      </w:r>
      <w:r w:rsidR="00221F58" w:rsidRPr="00D23690">
        <w:t xml:space="preserve">y opposèrent et signèrent une </w:t>
      </w:r>
      <w:r w:rsidR="00F53642" w:rsidRPr="00D23690">
        <w:t>déclaration sur l</w:t>
      </w:r>
      <w:r>
        <w:t>’</w:t>
      </w:r>
      <w:r w:rsidR="00F53642" w:rsidRPr="00D23690">
        <w:t xml:space="preserve">honneur </w:t>
      </w:r>
      <w:r w:rsidR="00E961F7" w:rsidRPr="00D23690">
        <w:t xml:space="preserve">indiquant </w:t>
      </w:r>
      <w:r w:rsidR="00F53642" w:rsidRPr="00D23690">
        <w:t>qu</w:t>
      </w:r>
      <w:r>
        <w:t>’</w:t>
      </w:r>
      <w:r w:rsidR="00F53642" w:rsidRPr="00D23690">
        <w:t>ils quittaient l</w:t>
      </w:r>
      <w:r>
        <w:t>’</w:t>
      </w:r>
      <w:r w:rsidR="00F53642" w:rsidRPr="00D23690">
        <w:t>hôpital en connaissance de cause et en dépit des recommandations des médecins</w:t>
      </w:r>
      <w:r w:rsidR="00221F58" w:rsidRPr="00D23690">
        <w:t>.</w:t>
      </w:r>
    </w:p>
    <w:p w:rsidR="00221F58" w:rsidRPr="00D23690" w:rsidRDefault="00F72410" w:rsidP="00221F58">
      <w:pPr>
        <w:pStyle w:val="ECHRPara"/>
      </w:pPr>
      <w:fldSimple w:instr=" SEQ level0 \*arabic ">
        <w:r w:rsidR="00886CF1">
          <w:rPr>
            <w:noProof/>
          </w:rPr>
          <w:t>19</w:t>
        </w:r>
      </w:fldSimple>
      <w:r w:rsidR="008D61E3" w:rsidRPr="00D23690">
        <w:t>.  </w:t>
      </w:r>
      <w:r w:rsidR="00221F58" w:rsidRPr="00D23690">
        <w:t>Le 30 juin 2011, le premier requérant se rendit à l</w:t>
      </w:r>
      <w:r>
        <w:t>’</w:t>
      </w:r>
      <w:r w:rsidR="00221F58" w:rsidRPr="00D23690">
        <w:t xml:space="preserve">hôpital </w:t>
      </w:r>
      <w:r w:rsidR="00242E8E" w:rsidRPr="00D23690">
        <w:t xml:space="preserve">« Aghia Varvara » </w:t>
      </w:r>
      <w:r w:rsidR="00221F58" w:rsidRPr="00D23690">
        <w:t>de l</w:t>
      </w:r>
      <w:r>
        <w:t>’</w:t>
      </w:r>
      <w:r w:rsidR="00221F58" w:rsidRPr="00D23690">
        <w:t>Attique de l</w:t>
      </w:r>
      <w:r>
        <w:t>’</w:t>
      </w:r>
      <w:r w:rsidR="00285A69" w:rsidRPr="00D23690">
        <w:t>O</w:t>
      </w:r>
      <w:r w:rsidR="00221F58" w:rsidRPr="00D23690">
        <w:t xml:space="preserve">uest, spécialisé dans les maladies infectieuses et </w:t>
      </w:r>
      <w:r w:rsidR="00242E8E" w:rsidRPr="00D23690">
        <w:t>disposant d</w:t>
      </w:r>
      <w:r>
        <w:t>’</w:t>
      </w:r>
      <w:r w:rsidR="00221F58" w:rsidRPr="00D23690">
        <w:t>un centre de traitement des personnes atteint</w:t>
      </w:r>
      <w:r w:rsidR="00A9223D" w:rsidRPr="00D23690">
        <w:t>e</w:t>
      </w:r>
      <w:r w:rsidR="00221F58" w:rsidRPr="00D23690">
        <w:t xml:space="preserve">s de la maladie de Hansen. Les premiers examens cliniques effectués par le chef de la clinique dermatologique de cet hôpital semblaient exclure que le premier requérant </w:t>
      </w:r>
      <w:r w:rsidR="00121497" w:rsidRPr="00D23690">
        <w:t>fut</w:t>
      </w:r>
      <w:r w:rsidR="00221F58" w:rsidRPr="00D23690">
        <w:t xml:space="preserve"> </w:t>
      </w:r>
      <w:r w:rsidR="00242E8E" w:rsidRPr="00D23690">
        <w:t>réellement</w:t>
      </w:r>
      <w:r w:rsidR="00221F58" w:rsidRPr="00D23690">
        <w:t xml:space="preserve"> atteint de cette maladie. </w:t>
      </w:r>
      <w:r w:rsidR="00121497" w:rsidRPr="00D23690">
        <w:t>Cependant</w:t>
      </w:r>
      <w:r w:rsidR="00221F58" w:rsidRPr="00D23690">
        <w:t>,</w:t>
      </w:r>
      <w:r w:rsidR="00121497" w:rsidRPr="00D23690">
        <w:t xml:space="preserve"> en raison du diagnostic positif établi par</w:t>
      </w:r>
      <w:r w:rsidR="00221F58" w:rsidRPr="00D23690">
        <w:t xml:space="preserve"> l</w:t>
      </w:r>
      <w:r>
        <w:t>’</w:t>
      </w:r>
      <w:r w:rsidR="00221F58" w:rsidRPr="00D23690">
        <w:t xml:space="preserve">hôpital de </w:t>
      </w:r>
      <w:r w:rsidR="007039CF" w:rsidRPr="00D23690">
        <w:t>Rion</w:t>
      </w:r>
      <w:r w:rsidR="00221F58" w:rsidRPr="00D23690">
        <w:t xml:space="preserve">, le </w:t>
      </w:r>
      <w:r w:rsidR="006C6C2A" w:rsidRPr="00D23690">
        <w:t xml:space="preserve">chef de la clinique </w:t>
      </w:r>
      <w:r w:rsidR="00221F58" w:rsidRPr="00D23690">
        <w:t>susmentionné</w:t>
      </w:r>
      <w:r w:rsidR="00344CD9" w:rsidRPr="00D23690">
        <w:t>e</w:t>
      </w:r>
      <w:r w:rsidR="00221F58" w:rsidRPr="00D23690">
        <w:t xml:space="preserve"> ordonna</w:t>
      </w:r>
      <w:r w:rsidR="00121497" w:rsidRPr="00D23690">
        <w:t xml:space="preserve"> également la prescription d</w:t>
      </w:r>
      <w:r>
        <w:t>’</w:t>
      </w:r>
      <w:r w:rsidR="00221F58" w:rsidRPr="00D23690">
        <w:t>une biopsie</w:t>
      </w:r>
      <w:r w:rsidR="00121497" w:rsidRPr="00D23690">
        <w:t>, laquelle</w:t>
      </w:r>
      <w:r w:rsidR="00221F58" w:rsidRPr="00D23690">
        <w:t xml:space="preserve"> </w:t>
      </w:r>
      <w:r w:rsidR="00C50CA6" w:rsidRPr="00D23690">
        <w:t>établit que l</w:t>
      </w:r>
      <w:r>
        <w:t>’</w:t>
      </w:r>
      <w:r w:rsidR="00C50CA6" w:rsidRPr="00D23690">
        <w:t>intéressé ne souffrait pas de la maladie de Hansen</w:t>
      </w:r>
      <w:r w:rsidR="00221F58" w:rsidRPr="00D23690">
        <w:t xml:space="preserve">. </w:t>
      </w:r>
      <w:r w:rsidR="00270B8E" w:rsidRPr="00D23690">
        <w:t>Il</w:t>
      </w:r>
      <w:r w:rsidR="006C6C2A" w:rsidRPr="00D23690">
        <w:t xml:space="preserve"> </w:t>
      </w:r>
      <w:r w:rsidR="00221F58" w:rsidRPr="00D23690">
        <w:t xml:space="preserve">recommanda alors </w:t>
      </w:r>
      <w:r w:rsidR="00242E8E" w:rsidRPr="00D23690">
        <w:t xml:space="preserve">à ce dernier et à sa famille </w:t>
      </w:r>
      <w:r w:rsidR="00221F58" w:rsidRPr="00D23690">
        <w:t>d</w:t>
      </w:r>
      <w:r>
        <w:t>’</w:t>
      </w:r>
      <w:r w:rsidR="00221F58" w:rsidRPr="00D23690">
        <w:t>interrompre le traitement qu</w:t>
      </w:r>
      <w:r>
        <w:t>’</w:t>
      </w:r>
      <w:r w:rsidR="00221F58" w:rsidRPr="00D23690">
        <w:t>il</w:t>
      </w:r>
      <w:r w:rsidR="00344CD9" w:rsidRPr="00D23690">
        <w:t>s</w:t>
      </w:r>
      <w:r w:rsidR="00221F58" w:rsidRPr="00D23690">
        <w:t xml:space="preserve"> suivai</w:t>
      </w:r>
      <w:r w:rsidR="00344CD9" w:rsidRPr="00D23690">
        <w:t>en</w:t>
      </w:r>
      <w:r w:rsidR="00221F58" w:rsidRPr="00D23690">
        <w:t>t</w:t>
      </w:r>
      <w:r w:rsidR="00270B8E" w:rsidRPr="00D23690">
        <w:t>. A l</w:t>
      </w:r>
      <w:r>
        <w:t>’</w:t>
      </w:r>
      <w:r w:rsidR="00270B8E" w:rsidRPr="00D23690">
        <w:t xml:space="preserve">appui de cette recommandation, il précisa que </w:t>
      </w:r>
      <w:r w:rsidR="00221F58" w:rsidRPr="00D23690">
        <w:t xml:space="preserve">le résultat de la biopsie ne pouvait pas être mis en doute compte tenu notamment </w:t>
      </w:r>
      <w:r w:rsidR="00270B8E" w:rsidRPr="00D23690">
        <w:t>de plusieurs éléments : le</w:t>
      </w:r>
      <w:r w:rsidR="00221F58" w:rsidRPr="00D23690">
        <w:t xml:space="preserve"> caractère rare de la maladie et</w:t>
      </w:r>
      <w:r w:rsidR="00270B8E" w:rsidRPr="00D23690">
        <w:t xml:space="preserve"> l</w:t>
      </w:r>
      <w:r>
        <w:t>’</w:t>
      </w:r>
      <w:r w:rsidR="00792425" w:rsidRPr="00D23690">
        <w:t>inexistence</w:t>
      </w:r>
      <w:r w:rsidR="00270B8E" w:rsidRPr="00D23690">
        <w:t xml:space="preserve"> de </w:t>
      </w:r>
      <w:r w:rsidR="00221F58" w:rsidRPr="00D23690">
        <w:t xml:space="preserve">cas </w:t>
      </w:r>
      <w:r w:rsidR="00270B8E" w:rsidRPr="00D23690">
        <w:t>connu</w:t>
      </w:r>
      <w:r w:rsidR="00744CBB" w:rsidRPr="00D23690">
        <w:t>s</w:t>
      </w:r>
      <w:r w:rsidR="00270B8E" w:rsidRPr="00D23690">
        <w:t xml:space="preserve"> </w:t>
      </w:r>
      <w:r w:rsidR="00221F58" w:rsidRPr="00D23690">
        <w:t>dans la région d</w:t>
      </w:r>
      <w:r>
        <w:t>’</w:t>
      </w:r>
      <w:r w:rsidR="00221F58" w:rsidRPr="00D23690">
        <w:t>Aitoloakarnania</w:t>
      </w:r>
      <w:r w:rsidR="00270B8E" w:rsidRPr="00D23690">
        <w:t>, l</w:t>
      </w:r>
      <w:r>
        <w:t>’</w:t>
      </w:r>
      <w:r w:rsidR="00FD3C1D" w:rsidRPr="00D23690">
        <w:t>absence d</w:t>
      </w:r>
      <w:r>
        <w:t>’</w:t>
      </w:r>
      <w:r w:rsidR="00FD3C1D" w:rsidRPr="00D23690">
        <w:t>un tel diagnostic</w:t>
      </w:r>
      <w:r w:rsidR="00221F58" w:rsidRPr="00D23690">
        <w:t xml:space="preserve"> </w:t>
      </w:r>
      <w:r w:rsidR="00FD3C1D" w:rsidRPr="00D23690">
        <w:t xml:space="preserve">posé auparavant par les </w:t>
      </w:r>
      <w:r w:rsidR="00221F58" w:rsidRPr="00D23690">
        <w:t>médecin</w:t>
      </w:r>
      <w:r w:rsidR="00FD3C1D" w:rsidRPr="00D23690">
        <w:t>s</w:t>
      </w:r>
      <w:r w:rsidR="00221F58" w:rsidRPr="00D23690">
        <w:t xml:space="preserve"> de l</w:t>
      </w:r>
      <w:r>
        <w:t>’</w:t>
      </w:r>
      <w:r w:rsidR="00221F58" w:rsidRPr="00D23690">
        <w:t>hôpital d</w:t>
      </w:r>
      <w:r w:rsidR="00744CBB" w:rsidRPr="00D23690">
        <w:t xml:space="preserve">e </w:t>
      </w:r>
      <w:r w:rsidR="00221F58" w:rsidRPr="00D23690">
        <w:t>Ioannina</w:t>
      </w:r>
      <w:r w:rsidR="00FD3C1D" w:rsidRPr="00D23690">
        <w:t xml:space="preserve"> consultés dans le passé par</w:t>
      </w:r>
      <w:r w:rsidR="00221F58" w:rsidRPr="00D23690">
        <w:t xml:space="preserve"> le </w:t>
      </w:r>
      <w:r w:rsidR="00270B8E" w:rsidRPr="00D23690">
        <w:t xml:space="preserve">premier </w:t>
      </w:r>
      <w:r w:rsidR="00221F58" w:rsidRPr="00D23690">
        <w:t>requérant</w:t>
      </w:r>
      <w:r w:rsidR="00270B8E" w:rsidRPr="00D23690">
        <w:t>,</w:t>
      </w:r>
      <w:r w:rsidR="00221F58" w:rsidRPr="00D23690">
        <w:t xml:space="preserve"> </w:t>
      </w:r>
      <w:r w:rsidR="00E075A5" w:rsidRPr="00D23690">
        <w:t>le</w:t>
      </w:r>
      <w:r w:rsidR="00221F58" w:rsidRPr="00D23690">
        <w:t xml:space="preserve"> fait que les problèmes dermatologiques présent</w:t>
      </w:r>
      <w:r w:rsidR="00270B8E" w:rsidRPr="00D23690">
        <w:t>és par ce dernier</w:t>
      </w:r>
      <w:r w:rsidR="00221F58" w:rsidRPr="00D23690">
        <w:t xml:space="preserve"> depuis vingt ans n</w:t>
      </w:r>
      <w:r>
        <w:t>’</w:t>
      </w:r>
      <w:r w:rsidR="00221F58" w:rsidRPr="00D23690">
        <w:t>avai</w:t>
      </w:r>
      <w:r w:rsidR="00E075A5" w:rsidRPr="00D23690">
        <w:t>en</w:t>
      </w:r>
      <w:r w:rsidR="00221F58" w:rsidRPr="00D23690">
        <w:t>t pas détruit de tissus de l</w:t>
      </w:r>
      <w:r>
        <w:t>’</w:t>
      </w:r>
      <w:r w:rsidR="00221F58" w:rsidRPr="00D23690">
        <w:t>épiderme</w:t>
      </w:r>
      <w:r w:rsidR="00E075A5" w:rsidRPr="00D23690">
        <w:t xml:space="preserve"> alors que </w:t>
      </w:r>
      <w:r w:rsidR="00221F58" w:rsidRPr="00D23690">
        <w:t xml:space="preserve">cela </w:t>
      </w:r>
      <w:r w:rsidR="00E075A5" w:rsidRPr="00D23690">
        <w:t xml:space="preserve">aurait dû </w:t>
      </w:r>
      <w:r w:rsidR="00221F58" w:rsidRPr="00D23690">
        <w:t>se produi</w:t>
      </w:r>
      <w:r w:rsidR="00E075A5" w:rsidRPr="00D23690">
        <w:t>re</w:t>
      </w:r>
      <w:r w:rsidR="00221F58" w:rsidRPr="00D23690">
        <w:t xml:space="preserve"> en cas de manifestation de la maladie</w:t>
      </w:r>
      <w:r w:rsidR="00E075A5" w:rsidRPr="00D23690">
        <w:t>, l</w:t>
      </w:r>
      <w:r>
        <w:t>’</w:t>
      </w:r>
      <w:r w:rsidR="00792425" w:rsidRPr="00D23690">
        <w:t>impossibilité de dissimuler les symptômes de la maladie avec</w:t>
      </w:r>
      <w:r w:rsidR="00221F58" w:rsidRPr="00D23690">
        <w:t xml:space="preserve"> le traitement </w:t>
      </w:r>
      <w:r w:rsidR="00B870EA" w:rsidRPr="00D23690">
        <w:t>médical</w:t>
      </w:r>
      <w:r w:rsidR="00221F58" w:rsidRPr="00D23690">
        <w:t xml:space="preserve"> administré depuis seulement un mois et demi</w:t>
      </w:r>
      <w:r w:rsidR="00E075A5" w:rsidRPr="00D23690">
        <w:t xml:space="preserve">, </w:t>
      </w:r>
      <w:r w:rsidR="00460D4C" w:rsidRPr="00D23690">
        <w:t>ainsi que</w:t>
      </w:r>
      <w:r w:rsidR="00E075A5" w:rsidRPr="00D23690">
        <w:t xml:space="preserve"> </w:t>
      </w:r>
      <w:r w:rsidR="00792425" w:rsidRPr="00D23690">
        <w:t>la non-reconnaissance de</w:t>
      </w:r>
      <w:r w:rsidR="00221F58" w:rsidRPr="00D23690">
        <w:t xml:space="preserve"> l</w:t>
      </w:r>
      <w:r>
        <w:t>’</w:t>
      </w:r>
      <w:r w:rsidR="00E075A5" w:rsidRPr="00D23690">
        <w:t>examen basé sur la « coloration</w:t>
      </w:r>
      <w:r w:rsidR="00221F58" w:rsidRPr="00D23690">
        <w:t xml:space="preserve"> de Ziehl-Nelssen</w:t>
      </w:r>
      <w:r w:rsidR="00E075A5" w:rsidRPr="00D23690">
        <w:t> »</w:t>
      </w:r>
      <w:r w:rsidR="00221F58" w:rsidRPr="00D23690">
        <w:t>, sur lequel était fondé le diagnostic de l</w:t>
      </w:r>
      <w:r>
        <w:t>’</w:t>
      </w:r>
      <w:r w:rsidR="00221F58" w:rsidRPr="00D23690">
        <w:t xml:space="preserve">hôpital de </w:t>
      </w:r>
      <w:r w:rsidR="007039CF" w:rsidRPr="00D23690">
        <w:t>Rion</w:t>
      </w:r>
      <w:r w:rsidR="00221F58" w:rsidRPr="00D23690">
        <w:t xml:space="preserve">, </w:t>
      </w:r>
      <w:r w:rsidR="00792425" w:rsidRPr="00D23690">
        <w:t>en tant que méthode</w:t>
      </w:r>
      <w:r w:rsidR="00221F58" w:rsidRPr="00D23690">
        <w:t xml:space="preserve"> principal</w:t>
      </w:r>
      <w:r w:rsidR="00F367E5" w:rsidRPr="00D23690">
        <w:t>e</w:t>
      </w:r>
      <w:r w:rsidR="00221F58" w:rsidRPr="00D23690">
        <w:t xml:space="preserve"> pour diagnostiquer la maladie de Hansen.</w:t>
      </w:r>
    </w:p>
    <w:p w:rsidR="006C6C2A" w:rsidRPr="00D23690" w:rsidRDefault="00F72410" w:rsidP="00221F58">
      <w:pPr>
        <w:pStyle w:val="ECHRPara"/>
      </w:pPr>
      <w:fldSimple w:instr=" SEQ level0 \*arabic ">
        <w:r w:rsidR="00886CF1">
          <w:rPr>
            <w:noProof/>
          </w:rPr>
          <w:t>20</w:t>
        </w:r>
      </w:fldSimple>
      <w:r w:rsidR="006C6C2A" w:rsidRPr="00D23690">
        <w:t>.  </w:t>
      </w:r>
      <w:r w:rsidR="007509D6" w:rsidRPr="00D23690">
        <w:t>Dans ses observations devant la Cour, l</w:t>
      </w:r>
      <w:r w:rsidR="006C6C2A" w:rsidRPr="00D23690">
        <w:t>e Gouvernement conteste la justesse scientifique du diagnostic effectué par le chef de la clinique dermatologique de l</w:t>
      </w:r>
      <w:r>
        <w:t>’</w:t>
      </w:r>
      <w:r w:rsidR="006C6C2A" w:rsidRPr="00D23690">
        <w:t>hôpital « Aghia Varvara »</w:t>
      </w:r>
      <w:r w:rsidR="007509D6" w:rsidRPr="00D23690">
        <w:t xml:space="preserve">, et il </w:t>
      </w:r>
      <w:r w:rsidR="00B17C2A" w:rsidRPr="00D23690">
        <w:t xml:space="preserve">se fonde </w:t>
      </w:r>
      <w:r w:rsidR="007509D6" w:rsidRPr="00D23690">
        <w:t xml:space="preserve">à cet égard </w:t>
      </w:r>
      <w:r w:rsidR="00B17C2A" w:rsidRPr="00D23690">
        <w:t>sur un rapport établi à sa demande par un professeur de dermatologie de la faculté de médecine de Patras.</w:t>
      </w:r>
    </w:p>
    <w:p w:rsidR="00221F58" w:rsidRPr="00D23690" w:rsidRDefault="00F72410" w:rsidP="00221F58">
      <w:pPr>
        <w:pStyle w:val="ECHRPara"/>
      </w:pPr>
      <w:fldSimple w:instr=" SEQ level0 \*arabic ">
        <w:r w:rsidR="00886CF1">
          <w:rPr>
            <w:noProof/>
          </w:rPr>
          <w:t>21</w:t>
        </w:r>
      </w:fldSimple>
      <w:r w:rsidR="008D61E3" w:rsidRPr="00D23690">
        <w:t>.  </w:t>
      </w:r>
      <w:r w:rsidR="00221F58" w:rsidRPr="00D23690">
        <w:t xml:space="preserve">Le 15 juillet 2011, le </w:t>
      </w:r>
      <w:r w:rsidR="00D423F1" w:rsidRPr="00D23690">
        <w:t xml:space="preserve">premier </w:t>
      </w:r>
      <w:r w:rsidR="00221F58" w:rsidRPr="00D23690">
        <w:t>requérant notifia les conclusions de l</w:t>
      </w:r>
      <w:r>
        <w:t>’</w:t>
      </w:r>
      <w:r w:rsidR="00221F58" w:rsidRPr="00D23690">
        <w:t>hôpital</w:t>
      </w:r>
      <w:r w:rsidR="007043B6" w:rsidRPr="00D23690">
        <w:t xml:space="preserve"> « </w:t>
      </w:r>
      <w:r w:rsidR="00221F58" w:rsidRPr="00D23690">
        <w:t>Aghia Varvara</w:t>
      </w:r>
      <w:r w:rsidR="007043B6" w:rsidRPr="00D23690">
        <w:t> »</w:t>
      </w:r>
      <w:r w:rsidR="006970DB" w:rsidRPr="00D23690">
        <w:t xml:space="preserve"> au chef de la </w:t>
      </w:r>
      <w:r w:rsidR="00D423F1" w:rsidRPr="00D23690">
        <w:t>d</w:t>
      </w:r>
      <w:r w:rsidR="006970DB" w:rsidRPr="00D23690">
        <w:t xml:space="preserve">irection de la </w:t>
      </w:r>
      <w:r w:rsidR="00D423F1" w:rsidRPr="00D23690">
        <w:t>s</w:t>
      </w:r>
      <w:r w:rsidR="006970DB" w:rsidRPr="00D23690">
        <w:t xml:space="preserve">anté </w:t>
      </w:r>
      <w:r w:rsidR="00D423F1" w:rsidRPr="00D23690">
        <w:t>p</w:t>
      </w:r>
      <w:r w:rsidR="00221F58" w:rsidRPr="00D23690">
        <w:t xml:space="preserve">ublique de la </w:t>
      </w:r>
      <w:r w:rsidR="00D423F1" w:rsidRPr="00D23690">
        <w:t>r</w:t>
      </w:r>
      <w:r w:rsidR="00221F58" w:rsidRPr="00D23690">
        <w:t>égion de la Grèce de l</w:t>
      </w:r>
      <w:r>
        <w:t>’</w:t>
      </w:r>
      <w:r w:rsidR="00285A69" w:rsidRPr="00D23690">
        <w:t>O</w:t>
      </w:r>
      <w:r w:rsidR="00221F58" w:rsidRPr="00D23690">
        <w:t>uest</w:t>
      </w:r>
      <w:r w:rsidR="004D688D" w:rsidRPr="00D23690">
        <w:t>. I</w:t>
      </w:r>
      <w:r w:rsidR="00D423F1" w:rsidRPr="00D23690">
        <w:t xml:space="preserve">l </w:t>
      </w:r>
      <w:r w:rsidR="00221F58" w:rsidRPr="00D23690">
        <w:t>sollicita la levée des mesures qui étaient imposées à sa famille</w:t>
      </w:r>
      <w:r w:rsidR="00D423F1" w:rsidRPr="00D23690">
        <w:t xml:space="preserve"> et lui-même</w:t>
      </w:r>
      <w:r w:rsidR="00221F58" w:rsidRPr="00D23690">
        <w:t xml:space="preserve">, </w:t>
      </w:r>
      <w:r w:rsidR="00D423F1" w:rsidRPr="00D23690">
        <w:t>à savoir</w:t>
      </w:r>
      <w:r w:rsidR="00221F58" w:rsidRPr="00D23690">
        <w:t xml:space="preserve"> </w:t>
      </w:r>
      <w:r w:rsidR="00EA0F3E" w:rsidRPr="00D23690">
        <w:t>l</w:t>
      </w:r>
      <w:r w:rsidR="00EB0E9D" w:rsidRPr="00D23690">
        <w:t xml:space="preserve">a </w:t>
      </w:r>
      <w:r w:rsidR="00432F0B" w:rsidRPr="00D23690">
        <w:t>soumission au</w:t>
      </w:r>
      <w:r w:rsidR="00221F58" w:rsidRPr="00D23690">
        <w:t xml:space="preserve"> traitement </w:t>
      </w:r>
      <w:r w:rsidR="00B870EA" w:rsidRPr="00D23690">
        <w:t>médical</w:t>
      </w:r>
      <w:r w:rsidR="00EA0F3E" w:rsidRPr="00D23690">
        <w:t xml:space="preserve">, lequel </w:t>
      </w:r>
      <w:r w:rsidR="00221F58" w:rsidRPr="00D23690">
        <w:t xml:space="preserve">avait </w:t>
      </w:r>
      <w:r w:rsidR="00D423F1" w:rsidRPr="00D23690">
        <w:t>e</w:t>
      </w:r>
      <w:r w:rsidR="00EA0F3E" w:rsidRPr="00D23690">
        <w:t>u</w:t>
      </w:r>
      <w:r w:rsidR="00221F58" w:rsidRPr="00D23690">
        <w:t xml:space="preserve"> des effets secondaires </w:t>
      </w:r>
      <w:r w:rsidR="00EA0F3E" w:rsidRPr="00D23690">
        <w:t>po</w:t>
      </w:r>
      <w:r w:rsidR="00221F58" w:rsidRPr="00D23690">
        <w:t>ur sa femme et sa fille</w:t>
      </w:r>
      <w:r w:rsidR="00EA0F3E" w:rsidRPr="00D23690">
        <w:t>, ainsi que</w:t>
      </w:r>
      <w:r w:rsidR="00221F58" w:rsidRPr="00D23690">
        <w:t xml:space="preserve"> l</w:t>
      </w:r>
      <w:r>
        <w:t>’</w:t>
      </w:r>
      <w:r w:rsidR="00221F58" w:rsidRPr="00D23690">
        <w:t>exclusion</w:t>
      </w:r>
      <w:r w:rsidR="00BC5328" w:rsidRPr="00D23690">
        <w:t xml:space="preserve"> de ses enfants</w:t>
      </w:r>
      <w:r w:rsidR="00221F58" w:rsidRPr="00D23690">
        <w:t xml:space="preserve"> de l</w:t>
      </w:r>
      <w:r>
        <w:t>’</w:t>
      </w:r>
      <w:r w:rsidR="00221F58" w:rsidRPr="00D23690">
        <w:t>école</w:t>
      </w:r>
      <w:r w:rsidR="00D423F1" w:rsidRPr="00D23690">
        <w:t>. Il demanda également</w:t>
      </w:r>
      <w:r w:rsidR="00221F58" w:rsidRPr="00D23690">
        <w:t xml:space="preserve"> la réparation de leur réputation et honneur, bafoués </w:t>
      </w:r>
      <w:r w:rsidR="00D423F1" w:rsidRPr="00D23690">
        <w:t>d</w:t>
      </w:r>
      <w:r>
        <w:t>’</w:t>
      </w:r>
      <w:r w:rsidR="00D423F1" w:rsidRPr="00D23690">
        <w:t xml:space="preserve">après lui à la </w:t>
      </w:r>
      <w:r w:rsidR="00221F58" w:rsidRPr="00D23690">
        <w:t xml:space="preserve">suite </w:t>
      </w:r>
      <w:r w:rsidR="00D423F1" w:rsidRPr="00D23690">
        <w:t xml:space="preserve">de la </w:t>
      </w:r>
      <w:r w:rsidR="00221F58" w:rsidRPr="00D23690">
        <w:t>publication</w:t>
      </w:r>
      <w:r w:rsidR="00D423F1" w:rsidRPr="00D23690">
        <w:t xml:space="preserve"> des </w:t>
      </w:r>
      <w:r w:rsidR="00221F58" w:rsidRPr="00D23690">
        <w:t xml:space="preserve">articles </w:t>
      </w:r>
      <w:r w:rsidR="00D423F1" w:rsidRPr="00D23690">
        <w:t xml:space="preserve">précités </w:t>
      </w:r>
      <w:r w:rsidR="00221F58" w:rsidRPr="00D23690">
        <w:t>dans la presse. Le chef de la</w:t>
      </w:r>
      <w:r w:rsidR="00D423F1" w:rsidRPr="00D23690">
        <w:t>dite d</w:t>
      </w:r>
      <w:r w:rsidR="00221F58" w:rsidRPr="00D23690">
        <w:t>irection refusa d</w:t>
      </w:r>
      <w:r>
        <w:t>’</w:t>
      </w:r>
      <w:r w:rsidR="00D423F1" w:rsidRPr="00D23690">
        <w:t>ordonner l</w:t>
      </w:r>
      <w:r>
        <w:t>’</w:t>
      </w:r>
      <w:r w:rsidR="00D423F1" w:rsidRPr="00D23690">
        <w:t>arrêt du</w:t>
      </w:r>
      <w:r w:rsidR="00221F58" w:rsidRPr="00D23690">
        <w:t xml:space="preserve"> traitement </w:t>
      </w:r>
      <w:r w:rsidR="00D423F1" w:rsidRPr="00D23690">
        <w:t xml:space="preserve">en question </w:t>
      </w:r>
      <w:r w:rsidR="00221F58" w:rsidRPr="00D23690">
        <w:t xml:space="preserve">et </w:t>
      </w:r>
      <w:r w:rsidR="00D423F1" w:rsidRPr="00D23690">
        <w:t xml:space="preserve">il </w:t>
      </w:r>
      <w:r w:rsidR="00221F58" w:rsidRPr="00D23690">
        <w:t>affirma que les enfants ne pouvaient pas retourner à l</w:t>
      </w:r>
      <w:r>
        <w:t>’</w:t>
      </w:r>
      <w:r w:rsidR="00221F58" w:rsidRPr="00D23690">
        <w:t>école tant que</w:t>
      </w:r>
      <w:r w:rsidR="00E423E5" w:rsidRPr="00D23690">
        <w:t xml:space="preserve"> la</w:t>
      </w:r>
      <w:r w:rsidR="00221F58" w:rsidRPr="00D23690">
        <w:t xml:space="preserve"> commission prévue </w:t>
      </w:r>
      <w:r w:rsidR="009D6FA8" w:rsidRPr="00D23690">
        <w:t>à</w:t>
      </w:r>
      <w:r w:rsidR="00221F58" w:rsidRPr="00D23690">
        <w:t xml:space="preserve"> l</w:t>
      </w:r>
      <w:r>
        <w:t>’</w:t>
      </w:r>
      <w:r w:rsidR="00221F58" w:rsidRPr="00D23690">
        <w:t>article 8 de la loi n</w:t>
      </w:r>
      <w:r w:rsidR="00D23690" w:rsidRPr="00D23690">
        <w:rPr>
          <w:vertAlign w:val="superscript"/>
        </w:rPr>
        <w:t>o</w:t>
      </w:r>
      <w:r w:rsidR="00221F58" w:rsidRPr="00D23690">
        <w:t xml:space="preserve"> 1137/</w:t>
      </w:r>
      <w:r w:rsidR="004C411B" w:rsidRPr="00D23690">
        <w:t>1981</w:t>
      </w:r>
      <w:r w:rsidR="000A1F53" w:rsidRPr="00D23690">
        <w:t>,</w:t>
      </w:r>
      <w:r w:rsidR="00D423F1" w:rsidRPr="00D23690">
        <w:t xml:space="preserve"> mais non encore instituée</w:t>
      </w:r>
      <w:r w:rsidR="00221F58" w:rsidRPr="00D23690">
        <w:t>, n</w:t>
      </w:r>
      <w:r>
        <w:t>’</w:t>
      </w:r>
      <w:r w:rsidR="00221F58" w:rsidRPr="00D23690">
        <w:t>avait pas examiné l</w:t>
      </w:r>
      <w:r w:rsidR="00E423E5" w:rsidRPr="00D23690">
        <w:t>a question.</w:t>
      </w:r>
    </w:p>
    <w:p w:rsidR="00221F58" w:rsidRPr="00D23690" w:rsidRDefault="00F72410" w:rsidP="00221F58">
      <w:pPr>
        <w:pStyle w:val="ECHRPara"/>
      </w:pPr>
      <w:fldSimple w:instr=" SEQ level0 \*arabic ">
        <w:r w:rsidR="00886CF1">
          <w:rPr>
            <w:noProof/>
          </w:rPr>
          <w:t>22</w:t>
        </w:r>
      </w:fldSimple>
      <w:r w:rsidR="008D61E3" w:rsidRPr="00D23690">
        <w:t>.  </w:t>
      </w:r>
      <w:r w:rsidR="00801738" w:rsidRPr="00D23690">
        <w:t>La rentrée des classes ayant eu lieu début septembre, le</w:t>
      </w:r>
      <w:r w:rsidR="00221F58" w:rsidRPr="00D23690">
        <w:t xml:space="preserve"> 31 octobre 2011, l</w:t>
      </w:r>
      <w:r>
        <w:t>’</w:t>
      </w:r>
      <w:r w:rsidR="00221F58" w:rsidRPr="00D23690">
        <w:t>avoca</w:t>
      </w:r>
      <w:r w:rsidR="00801738" w:rsidRPr="00D23690">
        <w:t>t que l</w:t>
      </w:r>
      <w:r w:rsidR="00221F58" w:rsidRPr="00D23690">
        <w:t xml:space="preserve">es requérants </w:t>
      </w:r>
      <w:r w:rsidR="00801738" w:rsidRPr="00D23690">
        <w:t>avaient engagé saisit le</w:t>
      </w:r>
      <w:r w:rsidR="00221F58" w:rsidRPr="00D23690">
        <w:t xml:space="preserve"> ministère de </w:t>
      </w:r>
      <w:r w:rsidR="00801738" w:rsidRPr="00D23690">
        <w:t>la Santé,</w:t>
      </w:r>
      <w:r w:rsidR="006970DB" w:rsidRPr="00D23690">
        <w:t xml:space="preserve"> la </w:t>
      </w:r>
      <w:r w:rsidR="0043356D" w:rsidRPr="00D23690">
        <w:t>d</w:t>
      </w:r>
      <w:r w:rsidR="006970DB" w:rsidRPr="00D23690">
        <w:t xml:space="preserve">irection de la </w:t>
      </w:r>
      <w:r w:rsidR="00275720" w:rsidRPr="00D23690">
        <w:t>s</w:t>
      </w:r>
      <w:r w:rsidR="006970DB" w:rsidRPr="00D23690">
        <w:t xml:space="preserve">anté </w:t>
      </w:r>
      <w:r w:rsidR="0043356D" w:rsidRPr="00D23690">
        <w:t>p</w:t>
      </w:r>
      <w:r w:rsidR="00221F58" w:rsidRPr="00D23690">
        <w:t xml:space="preserve">ublique de la </w:t>
      </w:r>
      <w:r w:rsidR="0043356D" w:rsidRPr="00D23690">
        <w:t>r</w:t>
      </w:r>
      <w:r w:rsidR="00221F58" w:rsidRPr="00D23690">
        <w:t>égion de la Grèce de l</w:t>
      </w:r>
      <w:r>
        <w:t>’</w:t>
      </w:r>
      <w:r w:rsidR="00275720" w:rsidRPr="00D23690">
        <w:t>O</w:t>
      </w:r>
      <w:r w:rsidR="00801738" w:rsidRPr="00D23690">
        <w:t>uest,</w:t>
      </w:r>
      <w:r w:rsidR="00221F58" w:rsidRPr="00D23690">
        <w:t xml:space="preserve"> l</w:t>
      </w:r>
      <w:r>
        <w:t>’</w:t>
      </w:r>
      <w:r w:rsidR="00221F58" w:rsidRPr="00D23690">
        <w:t>administration du Péloponnèse-Grèce de l</w:t>
      </w:r>
      <w:r>
        <w:t>’</w:t>
      </w:r>
      <w:r w:rsidR="00275720" w:rsidRPr="00D23690">
        <w:t>O</w:t>
      </w:r>
      <w:r w:rsidR="00221F58" w:rsidRPr="00D23690">
        <w:t>uest-</w:t>
      </w:r>
      <w:r w:rsidR="003B7606" w:rsidRPr="00D23690">
        <w:t>I</w:t>
      </w:r>
      <w:r w:rsidR="00221F58" w:rsidRPr="00D23690">
        <w:t>les ioniennes, et</w:t>
      </w:r>
      <w:r>
        <w:t xml:space="preserve"> </w:t>
      </w:r>
      <w:r w:rsidR="00221F58" w:rsidRPr="00D23690">
        <w:t xml:space="preserve">la </w:t>
      </w:r>
      <w:r w:rsidR="000E30BD" w:rsidRPr="00D23690">
        <w:t>d</w:t>
      </w:r>
      <w:r w:rsidR="00221F58" w:rsidRPr="00D23690">
        <w:t>irection de l</w:t>
      </w:r>
      <w:r>
        <w:t>’</w:t>
      </w:r>
      <w:r w:rsidR="00221F58" w:rsidRPr="00D23690">
        <w:t>enseignement primaire d</w:t>
      </w:r>
      <w:r>
        <w:t>’</w:t>
      </w:r>
      <w:r w:rsidR="00221F58" w:rsidRPr="00D23690">
        <w:t xml:space="preserve">Aitoloakarnania </w:t>
      </w:r>
      <w:r w:rsidR="000A1F53" w:rsidRPr="00D23690">
        <w:t>d</w:t>
      </w:r>
      <w:r>
        <w:t>’</w:t>
      </w:r>
      <w:r w:rsidR="00221F58" w:rsidRPr="00D23690">
        <w:t>un</w:t>
      </w:r>
      <w:r w:rsidR="00801738" w:rsidRPr="00D23690">
        <w:t>e requête</w:t>
      </w:r>
      <w:r w:rsidR="00591A8E" w:rsidRPr="00D23690">
        <w:t>, fondé</w:t>
      </w:r>
      <w:r w:rsidR="00801738" w:rsidRPr="00D23690">
        <w:t>e</w:t>
      </w:r>
      <w:r w:rsidR="00591A8E" w:rsidRPr="00D23690">
        <w:t xml:space="preserve"> sur les </w:t>
      </w:r>
      <w:r w:rsidR="004C1E7F" w:rsidRPr="00D23690">
        <w:t>art</w:t>
      </w:r>
      <w:r w:rsidR="00E423E5" w:rsidRPr="00D23690">
        <w:t>icle</w:t>
      </w:r>
      <w:r w:rsidR="00591A8E" w:rsidRPr="00D23690">
        <w:t>s 2 § 3 et</w:t>
      </w:r>
      <w:r w:rsidR="00E423E5" w:rsidRPr="00D23690">
        <w:t xml:space="preserve"> 8 de la loi n</w:t>
      </w:r>
      <w:r w:rsidR="00D23690" w:rsidRPr="00D23690">
        <w:rPr>
          <w:vertAlign w:val="superscript"/>
        </w:rPr>
        <w:t>o</w:t>
      </w:r>
      <w:r w:rsidR="00E423E5" w:rsidRPr="00D23690">
        <w:t xml:space="preserve"> 1137/1981,</w:t>
      </w:r>
      <w:r w:rsidR="00221F58" w:rsidRPr="00D23690">
        <w:t xml:space="preserve"> </w:t>
      </w:r>
      <w:r w:rsidR="00801738" w:rsidRPr="00D23690">
        <w:t>par la</w:t>
      </w:r>
      <w:r w:rsidR="00827927" w:rsidRPr="00D23690">
        <w:t>quel</w:t>
      </w:r>
      <w:r w:rsidR="00801738" w:rsidRPr="00D23690">
        <w:t>le</w:t>
      </w:r>
      <w:r w:rsidR="00827927" w:rsidRPr="00D23690">
        <w:t xml:space="preserve"> </w:t>
      </w:r>
      <w:r w:rsidR="00610963" w:rsidRPr="00D23690">
        <w:t>les intéressés</w:t>
      </w:r>
      <w:r w:rsidR="00827927" w:rsidRPr="00D23690">
        <w:t xml:space="preserve"> contestai</w:t>
      </w:r>
      <w:r w:rsidR="00610963" w:rsidRPr="00D23690">
        <w:t>en</w:t>
      </w:r>
      <w:r w:rsidR="00827927" w:rsidRPr="00D23690">
        <w:t xml:space="preserve">t le diagnostic </w:t>
      </w:r>
      <w:r w:rsidR="00610963" w:rsidRPr="00D23690">
        <w:t xml:space="preserve">médical établi </w:t>
      </w:r>
      <w:r w:rsidR="00827927" w:rsidRPr="00D23690">
        <w:t xml:space="preserve">et </w:t>
      </w:r>
      <w:r w:rsidR="00610963" w:rsidRPr="00D23690">
        <w:t>demandaient la levée d</w:t>
      </w:r>
      <w:r w:rsidR="00221F58" w:rsidRPr="00D23690">
        <w:t xml:space="preserve">es mesures restrictives </w:t>
      </w:r>
      <w:r w:rsidR="00610963" w:rsidRPr="00D23690">
        <w:t xml:space="preserve">ainsi que </w:t>
      </w:r>
      <w:r w:rsidR="00221F58" w:rsidRPr="00D23690">
        <w:t>l</w:t>
      </w:r>
      <w:r>
        <w:t>’</w:t>
      </w:r>
      <w:r w:rsidR="00221F58" w:rsidRPr="00D23690">
        <w:t>institution de la commission susmentionnée.</w:t>
      </w:r>
    </w:p>
    <w:p w:rsidR="00F72410" w:rsidRDefault="00F72410" w:rsidP="00221F58">
      <w:pPr>
        <w:pStyle w:val="ECHRPara"/>
      </w:pPr>
      <w:fldSimple w:instr=" SEQ level0 \*arabic ">
        <w:r w:rsidR="00886CF1">
          <w:rPr>
            <w:noProof/>
          </w:rPr>
          <w:t>23</w:t>
        </w:r>
      </w:fldSimple>
      <w:r w:rsidR="00654F13" w:rsidRPr="00D23690">
        <w:t>.  Le 11 novembre 2011, le directeur de l</w:t>
      </w:r>
      <w:r>
        <w:t>’</w:t>
      </w:r>
      <w:r w:rsidR="00654F13" w:rsidRPr="00D23690">
        <w:t>école des requérants</w:t>
      </w:r>
      <w:r w:rsidR="00C45DB4" w:rsidRPr="00D23690">
        <w:t xml:space="preserve"> mineurs</w:t>
      </w:r>
      <w:r w:rsidR="00654F13" w:rsidRPr="00D23690">
        <w:t xml:space="preserve"> informa la direction </w:t>
      </w:r>
      <w:r w:rsidR="00226105" w:rsidRPr="00D23690">
        <w:t xml:space="preserve">des services </w:t>
      </w:r>
      <w:r w:rsidR="00610963" w:rsidRPr="00D23690">
        <w:t xml:space="preserve">locaux </w:t>
      </w:r>
      <w:r w:rsidR="00226105" w:rsidRPr="00D23690">
        <w:t>de l</w:t>
      </w:r>
      <w:r>
        <w:t>’</w:t>
      </w:r>
      <w:r w:rsidR="003E3614" w:rsidRPr="00D23690">
        <w:t>é</w:t>
      </w:r>
      <w:r w:rsidR="00226105" w:rsidRPr="00D23690">
        <w:t>ducation</w:t>
      </w:r>
      <w:r>
        <w:t xml:space="preserve"> </w:t>
      </w:r>
      <w:r w:rsidR="00654F13" w:rsidRPr="00D23690">
        <w:t>qu</w:t>
      </w:r>
      <w:r w:rsidR="003E3614" w:rsidRPr="00D23690">
        <w:t>e la deuxième requérante avait rejeté sa</w:t>
      </w:r>
      <w:r w:rsidR="00654F13" w:rsidRPr="00D23690">
        <w:t xml:space="preserve"> proposition de désigner un instituteur pour donner des cours à domicile aux </w:t>
      </w:r>
      <w:r w:rsidR="003E3614" w:rsidRPr="00D23690">
        <w:t xml:space="preserve">deux </w:t>
      </w:r>
      <w:r w:rsidR="00654F13" w:rsidRPr="00D23690">
        <w:t>enfants.</w:t>
      </w:r>
    </w:p>
    <w:p w:rsidR="00221F58" w:rsidRPr="00D23690" w:rsidRDefault="00F72410" w:rsidP="00221F58">
      <w:pPr>
        <w:pStyle w:val="ECHRPara"/>
      </w:pPr>
      <w:fldSimple w:instr=" SEQ level0 \*arabic ">
        <w:r w:rsidR="00886CF1">
          <w:rPr>
            <w:noProof/>
          </w:rPr>
          <w:t>24</w:t>
        </w:r>
      </w:fldSimple>
      <w:r w:rsidR="008D61E3" w:rsidRPr="00D23690">
        <w:t>.  </w:t>
      </w:r>
      <w:r w:rsidR="00221F58" w:rsidRPr="00D23690">
        <w:t>Le 18 novembre 2011,</w:t>
      </w:r>
      <w:r w:rsidR="006970DB" w:rsidRPr="00D23690">
        <w:t xml:space="preserve"> le chef de la </w:t>
      </w:r>
      <w:r w:rsidR="00D01202" w:rsidRPr="00D23690">
        <w:t>d</w:t>
      </w:r>
      <w:r w:rsidR="006970DB" w:rsidRPr="00D23690">
        <w:t xml:space="preserve">irection de la </w:t>
      </w:r>
      <w:r w:rsidR="003B7606" w:rsidRPr="00D23690">
        <w:t>s</w:t>
      </w:r>
      <w:r w:rsidR="006970DB" w:rsidRPr="00D23690">
        <w:t xml:space="preserve">anté </w:t>
      </w:r>
      <w:r w:rsidR="00D01202" w:rsidRPr="00D23690">
        <w:t>p</w:t>
      </w:r>
      <w:r w:rsidR="00221F58" w:rsidRPr="00D23690">
        <w:t xml:space="preserve">ublique de la </w:t>
      </w:r>
      <w:r w:rsidR="00D01202" w:rsidRPr="00D23690">
        <w:t>r</w:t>
      </w:r>
      <w:r w:rsidR="00221F58" w:rsidRPr="00D23690">
        <w:t>égion de la Grèce de l</w:t>
      </w:r>
      <w:r>
        <w:t>’</w:t>
      </w:r>
      <w:r w:rsidR="003B7606" w:rsidRPr="00D23690">
        <w:t>O</w:t>
      </w:r>
      <w:r w:rsidR="00221F58" w:rsidRPr="00D23690">
        <w:t>uest informa les requérants qu</w:t>
      </w:r>
      <w:r>
        <w:t>’</w:t>
      </w:r>
      <w:r w:rsidR="00221F58" w:rsidRPr="00D23690">
        <w:t xml:space="preserve">il </w:t>
      </w:r>
      <w:r w:rsidR="00A65D0F" w:rsidRPr="00D23690">
        <w:t>n</w:t>
      </w:r>
      <w:r>
        <w:t>’</w:t>
      </w:r>
      <w:r w:rsidR="00221F58" w:rsidRPr="00D23690">
        <w:t xml:space="preserve">avait pris </w:t>
      </w:r>
      <w:r w:rsidR="00A65D0F" w:rsidRPr="00D23690">
        <w:t>auc</w:t>
      </w:r>
      <w:r w:rsidR="00221F58" w:rsidRPr="00D23690">
        <w:t xml:space="preserve">une décision formelle </w:t>
      </w:r>
      <w:r w:rsidR="00D01202" w:rsidRPr="00D23690">
        <w:t>interdis</w:t>
      </w:r>
      <w:r w:rsidR="00221F58" w:rsidRPr="00D23690">
        <w:t>ant aux troisième et quatrième requérants de poursuivre leur scolarité</w:t>
      </w:r>
      <w:r w:rsidR="00A65D0F" w:rsidRPr="00D23690">
        <w:t xml:space="preserve"> et que, par conséquent, le</w:t>
      </w:r>
      <w:r w:rsidR="00D01202" w:rsidRPr="00D23690">
        <w:t>ur</w:t>
      </w:r>
      <w:r w:rsidR="00A65D0F" w:rsidRPr="00D23690">
        <w:t xml:space="preserve"> recours était sans objet en ce qui concernait</w:t>
      </w:r>
      <w:r w:rsidR="006970DB" w:rsidRPr="00D23690">
        <w:t xml:space="preserve"> cet aspect des mesures litigieuses</w:t>
      </w:r>
      <w:r w:rsidR="00A65D0F" w:rsidRPr="00D23690">
        <w:t>.</w:t>
      </w:r>
    </w:p>
    <w:p w:rsidR="00221F58" w:rsidRPr="00D23690" w:rsidRDefault="00F72410" w:rsidP="00221F58">
      <w:pPr>
        <w:pStyle w:val="ECHRPara"/>
      </w:pPr>
      <w:fldSimple w:instr=" SEQ level0 \*arabic ">
        <w:r w:rsidR="00886CF1">
          <w:rPr>
            <w:noProof/>
          </w:rPr>
          <w:t>25</w:t>
        </w:r>
      </w:fldSimple>
      <w:r w:rsidR="008D61E3" w:rsidRPr="00D23690">
        <w:t>.  </w:t>
      </w:r>
      <w:r w:rsidR="00221F58" w:rsidRPr="00D23690">
        <w:t>Le 21 novembre 2011, le ministère de la Santé informa les requérants que la commission prévue à l</w:t>
      </w:r>
      <w:r>
        <w:t>’</w:t>
      </w:r>
      <w:r w:rsidR="00221F58" w:rsidRPr="00D23690">
        <w:t>article 8 de la loi n</w:t>
      </w:r>
      <w:r w:rsidR="00D23690" w:rsidRPr="00D23690">
        <w:rPr>
          <w:vertAlign w:val="superscript"/>
        </w:rPr>
        <w:t>o</w:t>
      </w:r>
      <w:r w:rsidR="00221F58" w:rsidRPr="00D23690">
        <w:t xml:space="preserve"> 1137/1981 </w:t>
      </w:r>
      <w:r w:rsidR="004C411B" w:rsidRPr="00D23690">
        <w:t>avait été</w:t>
      </w:r>
      <w:r w:rsidR="00E423E5" w:rsidRPr="00D23690">
        <w:t xml:space="preserve"> </w:t>
      </w:r>
      <w:r w:rsidR="00221F58" w:rsidRPr="00D23690">
        <w:t>instituée.</w:t>
      </w:r>
    </w:p>
    <w:p w:rsidR="00F72410" w:rsidRDefault="00F72410" w:rsidP="00221F58">
      <w:pPr>
        <w:pStyle w:val="ECHRPara"/>
      </w:pPr>
      <w:fldSimple w:instr=" SEQ level0 \*arabic ">
        <w:r w:rsidR="00886CF1">
          <w:rPr>
            <w:noProof/>
          </w:rPr>
          <w:t>26</w:t>
        </w:r>
      </w:fldSimple>
      <w:r w:rsidR="008D61E3" w:rsidRPr="00D23690">
        <w:t>.  </w:t>
      </w:r>
      <w:r w:rsidR="00221F58" w:rsidRPr="00D23690">
        <w:t xml:space="preserve">Le 8 décembre 2011, les requérants furent examinés par </w:t>
      </w:r>
      <w:r w:rsidR="004B4817" w:rsidRPr="00D23690">
        <w:t>les membres de ladite</w:t>
      </w:r>
      <w:r w:rsidR="00221F58" w:rsidRPr="00D23690">
        <w:t xml:space="preserve"> commission à l</w:t>
      </w:r>
      <w:r>
        <w:t>’</w:t>
      </w:r>
      <w:r w:rsidR="00221F58" w:rsidRPr="00D23690">
        <w:t xml:space="preserve">hôpital « Andreas Syngros ». </w:t>
      </w:r>
      <w:r w:rsidR="004B4817" w:rsidRPr="00D23690">
        <w:t>Cette</w:t>
      </w:r>
      <w:r w:rsidR="005E7326" w:rsidRPr="00D23690">
        <w:t xml:space="preserve"> commission, composée </w:t>
      </w:r>
      <w:r w:rsidR="002671AD" w:rsidRPr="00D23690">
        <w:t>du</w:t>
      </w:r>
      <w:r w:rsidR="005E7326" w:rsidRPr="00D23690">
        <w:t xml:space="preserve"> professeur de</w:t>
      </w:r>
      <w:r w:rsidR="002671AD" w:rsidRPr="00D23690">
        <w:t xml:space="preserve"> la chair</w:t>
      </w:r>
      <w:r w:rsidR="004B4817" w:rsidRPr="00D23690">
        <w:t>e</w:t>
      </w:r>
      <w:r w:rsidR="002671AD" w:rsidRPr="00D23690">
        <w:t xml:space="preserve"> de</w:t>
      </w:r>
      <w:r w:rsidR="005E7326" w:rsidRPr="00D23690">
        <w:t xml:space="preserve"> dermatologie de l</w:t>
      </w:r>
      <w:r>
        <w:t>’</w:t>
      </w:r>
      <w:r w:rsidR="004B4817" w:rsidRPr="00D23690">
        <w:t>u</w:t>
      </w:r>
      <w:r w:rsidR="005E7326" w:rsidRPr="00D23690">
        <w:t>niversité d</w:t>
      </w:r>
      <w:r>
        <w:t>’</w:t>
      </w:r>
      <w:r w:rsidR="005E7326" w:rsidRPr="00D23690">
        <w:t xml:space="preserve">Athènes, </w:t>
      </w:r>
      <w:r w:rsidR="004B4817" w:rsidRPr="00D23690">
        <w:t>du</w:t>
      </w:r>
      <w:r w:rsidR="005E7326" w:rsidRPr="00D23690">
        <w:t xml:space="preserve"> chef de la clinique dermatologique de l</w:t>
      </w:r>
      <w:r>
        <w:t>’</w:t>
      </w:r>
      <w:r w:rsidR="005E7326" w:rsidRPr="00D23690">
        <w:t xml:space="preserve">hôpital « Aghia Varvara » et </w:t>
      </w:r>
      <w:r w:rsidR="004B4817" w:rsidRPr="00D23690">
        <w:t>d</w:t>
      </w:r>
      <w:r>
        <w:t>’</w:t>
      </w:r>
      <w:r w:rsidR="005E7326" w:rsidRPr="00D23690">
        <w:t>un médecin dermatologue</w:t>
      </w:r>
      <w:r w:rsidR="00E423E5" w:rsidRPr="00D23690">
        <w:t xml:space="preserve"> </w:t>
      </w:r>
      <w:r w:rsidR="004B4817" w:rsidRPr="00D23690">
        <w:t>choisi par l</w:t>
      </w:r>
      <w:r w:rsidR="00E423E5" w:rsidRPr="00D23690">
        <w:t xml:space="preserve">es </w:t>
      </w:r>
      <w:r w:rsidR="00861376" w:rsidRPr="00D23690">
        <w:t>plaignants</w:t>
      </w:r>
      <w:r w:rsidR="005E7326" w:rsidRPr="00D23690">
        <w:t xml:space="preserve">, </w:t>
      </w:r>
      <w:r w:rsidR="00221F58" w:rsidRPr="00D23690">
        <w:t>conclut qu</w:t>
      </w:r>
      <w:r>
        <w:t>’</w:t>
      </w:r>
      <w:r w:rsidR="00221F58" w:rsidRPr="00D23690">
        <w:t xml:space="preserve">aucun </w:t>
      </w:r>
      <w:r w:rsidR="000A1E9D" w:rsidRPr="00D23690">
        <w:t>d</w:t>
      </w:r>
      <w:r>
        <w:t>’</w:t>
      </w:r>
      <w:r w:rsidR="00861376" w:rsidRPr="00D23690">
        <w:t>entre eux</w:t>
      </w:r>
      <w:r w:rsidR="00221F58" w:rsidRPr="00D23690">
        <w:t xml:space="preserve"> n</w:t>
      </w:r>
      <w:r>
        <w:t>’</w:t>
      </w:r>
      <w:r w:rsidR="00221F58" w:rsidRPr="00D23690">
        <w:t xml:space="preserve">était atteint de la maladie de Hansen et ne </w:t>
      </w:r>
      <w:r w:rsidR="004B4817" w:rsidRPr="00D23690">
        <w:t>représentait</w:t>
      </w:r>
      <w:r w:rsidR="00221F58" w:rsidRPr="00D23690">
        <w:t xml:space="preserve"> un danger pour la santé publique.</w:t>
      </w:r>
    </w:p>
    <w:p w:rsidR="00221F58" w:rsidRPr="00D23690" w:rsidRDefault="00F72410" w:rsidP="00221F58">
      <w:pPr>
        <w:pStyle w:val="ECHRPara"/>
      </w:pPr>
      <w:fldSimple w:instr=" SEQ level0 \*arabic ">
        <w:r w:rsidR="00886CF1">
          <w:rPr>
            <w:noProof/>
          </w:rPr>
          <w:t>27</w:t>
        </w:r>
      </w:fldSimple>
      <w:r w:rsidR="008D61E3" w:rsidRPr="00D23690">
        <w:t>.  </w:t>
      </w:r>
      <w:r w:rsidR="00221F58" w:rsidRPr="00D23690">
        <w:t>Le 9 décembre 2011, la deuxième requérante amena les troisième et quatrième requérants à leur école</w:t>
      </w:r>
      <w:r w:rsidR="004B4817" w:rsidRPr="00D23690">
        <w:t>,</w:t>
      </w:r>
      <w:r w:rsidR="00221F58" w:rsidRPr="00D23690">
        <w:t xml:space="preserve"> mais le directeur </w:t>
      </w:r>
      <w:r w:rsidR="004B4817" w:rsidRPr="00D23690">
        <w:t>de l</w:t>
      </w:r>
      <w:r>
        <w:t>’</w:t>
      </w:r>
      <w:r w:rsidR="004B4817" w:rsidRPr="00D23690">
        <w:t xml:space="preserve">établissement </w:t>
      </w:r>
      <w:r w:rsidR="00221F58" w:rsidRPr="00D23690">
        <w:t>déclara qu</w:t>
      </w:r>
      <w:r>
        <w:t>’</w:t>
      </w:r>
      <w:r w:rsidR="00221F58" w:rsidRPr="00D23690">
        <w:t>il ne pouvait pas les accueillir tant qu</w:t>
      </w:r>
      <w:r>
        <w:t>’</w:t>
      </w:r>
      <w:r w:rsidR="00221F58" w:rsidRPr="00D23690">
        <w:t>il n</w:t>
      </w:r>
      <w:r>
        <w:t>’</w:t>
      </w:r>
      <w:r w:rsidR="00221F58" w:rsidRPr="00D23690">
        <w:t xml:space="preserve">avait pas reçu par </w:t>
      </w:r>
      <w:r w:rsidR="00912E24" w:rsidRPr="00D23690">
        <w:t xml:space="preserve">la </w:t>
      </w:r>
      <w:r w:rsidR="00221F58" w:rsidRPr="00D23690">
        <w:t xml:space="preserve">voie administrative </w:t>
      </w:r>
      <w:r w:rsidR="00912E24" w:rsidRPr="00D23690">
        <w:t xml:space="preserve">une copie de </w:t>
      </w:r>
      <w:r w:rsidR="00221F58" w:rsidRPr="00D23690">
        <w:t>la décision de la commission</w:t>
      </w:r>
      <w:r w:rsidR="004B4817" w:rsidRPr="00D23690">
        <w:t xml:space="preserve"> et il ajouta </w:t>
      </w:r>
      <w:r w:rsidR="00221F58" w:rsidRPr="00D23690">
        <w:t>que cette décision serait « réclamée par les parents d</w:t>
      </w:r>
      <w:r>
        <w:t>’</w:t>
      </w:r>
      <w:r w:rsidR="00221F58" w:rsidRPr="00D23690">
        <w:t>élèves ». Le même jour, l</w:t>
      </w:r>
      <w:r>
        <w:t>’</w:t>
      </w:r>
      <w:r w:rsidR="00221F58" w:rsidRPr="00D23690">
        <w:t xml:space="preserve">avocat des requérants écrivit </w:t>
      </w:r>
      <w:r w:rsidR="002A0EDF" w:rsidRPr="00D23690">
        <w:t>audit</w:t>
      </w:r>
      <w:r w:rsidR="004B4817" w:rsidRPr="00D23690">
        <w:t xml:space="preserve"> </w:t>
      </w:r>
      <w:r w:rsidR="00221F58" w:rsidRPr="00D23690">
        <w:t>directeur pour lui communiquer les éléments relatifs à la décision de la commission et l</w:t>
      </w:r>
      <w:r>
        <w:t>’</w:t>
      </w:r>
      <w:r w:rsidR="00221F58" w:rsidRPr="00D23690">
        <w:t>inciter à solliciter au plus vite la transmission d</w:t>
      </w:r>
      <w:r>
        <w:t>’</w:t>
      </w:r>
      <w:r w:rsidR="00221F58" w:rsidRPr="00D23690">
        <w:t>une copie de la décision</w:t>
      </w:r>
      <w:r w:rsidR="004B4817" w:rsidRPr="00D23690">
        <w:t xml:space="preserve"> en question</w:t>
      </w:r>
      <w:r w:rsidR="00221F58" w:rsidRPr="00D23690">
        <w:t>. Le 12</w:t>
      </w:r>
      <w:r w:rsidR="00504A7C" w:rsidRPr="00D23690">
        <w:t> </w:t>
      </w:r>
      <w:r w:rsidR="00221F58" w:rsidRPr="00D23690">
        <w:t>décembre 2011, les troisième et quatrième requérants reprirent leur scolarité.</w:t>
      </w:r>
    </w:p>
    <w:p w:rsidR="00221F58" w:rsidRPr="00D23690" w:rsidRDefault="00F72410" w:rsidP="00221F58">
      <w:pPr>
        <w:pStyle w:val="ECHRPara"/>
      </w:pPr>
      <w:fldSimple w:instr=" SEQ level0 \*arabic ">
        <w:r w:rsidR="00886CF1">
          <w:rPr>
            <w:noProof/>
          </w:rPr>
          <w:t>28</w:t>
        </w:r>
      </w:fldSimple>
      <w:r w:rsidR="008D61E3" w:rsidRPr="00D23690">
        <w:t>.  </w:t>
      </w:r>
      <w:r w:rsidR="00EA69A2" w:rsidRPr="00D23690">
        <w:t>Dans leurs observations devant la Cour, l</w:t>
      </w:r>
      <w:r w:rsidR="00221F58" w:rsidRPr="00D23690">
        <w:t xml:space="preserve">es premier et deuxième requérants, qui travaillaient respectivement comme maçon et femme de ménage, </w:t>
      </w:r>
      <w:r w:rsidR="00EA69A2" w:rsidRPr="00D23690">
        <w:t>indiquent avoir perdu</w:t>
      </w:r>
      <w:r w:rsidR="00221F58" w:rsidRPr="00D23690">
        <w:t xml:space="preserve"> leur travail et n</w:t>
      </w:r>
      <w:r>
        <w:t>’</w:t>
      </w:r>
      <w:r w:rsidR="00EA69A2" w:rsidRPr="00D23690">
        <w:t>avoir pu</w:t>
      </w:r>
      <w:r w:rsidR="00221F58" w:rsidRPr="00D23690">
        <w:t xml:space="preserve"> en retrouver un autre. Ils affirment </w:t>
      </w:r>
      <w:r w:rsidR="00EA69A2" w:rsidRPr="00D23690">
        <w:t xml:space="preserve">également </w:t>
      </w:r>
      <w:r w:rsidR="00221F58" w:rsidRPr="00D23690">
        <w:t>que</w:t>
      </w:r>
      <w:r w:rsidR="00EA69A2" w:rsidRPr="00D23690">
        <w:t>,</w:t>
      </w:r>
      <w:r w:rsidR="00221F58" w:rsidRPr="00D23690">
        <w:t xml:space="preserve"> même après la décision de la commission</w:t>
      </w:r>
      <w:r w:rsidR="00EA69A2" w:rsidRPr="00D23690">
        <w:t xml:space="preserve"> susmentionnée</w:t>
      </w:r>
      <w:r w:rsidR="00221F58" w:rsidRPr="00D23690">
        <w:t xml:space="preserve">, </w:t>
      </w:r>
      <w:r w:rsidR="00005811" w:rsidRPr="00D23690">
        <w:t>les habitants</w:t>
      </w:r>
      <w:r w:rsidR="00221F58" w:rsidRPr="00D23690">
        <w:t xml:space="preserve"> de Panaitolio </w:t>
      </w:r>
      <w:r w:rsidR="00EA69A2" w:rsidRPr="00D23690">
        <w:t>avaient mis</w:t>
      </w:r>
      <w:r w:rsidR="00221F58" w:rsidRPr="00D23690">
        <w:t xml:space="preserve"> en doute leur bon</w:t>
      </w:r>
      <w:r w:rsidR="00E417D7" w:rsidRPr="00D23690">
        <w:t xml:space="preserve"> état de</w:t>
      </w:r>
      <w:r w:rsidR="00221F58" w:rsidRPr="00D23690">
        <w:t xml:space="preserve"> santé et </w:t>
      </w:r>
      <w:r w:rsidR="00EA69A2" w:rsidRPr="00D23690">
        <w:t xml:space="preserve">avaient </w:t>
      </w:r>
      <w:r w:rsidR="00221F58" w:rsidRPr="00D23690">
        <w:t>demand</w:t>
      </w:r>
      <w:r w:rsidR="00EA69A2" w:rsidRPr="00D23690">
        <w:t>é</w:t>
      </w:r>
      <w:r w:rsidR="00221F58" w:rsidRPr="00D23690">
        <w:t xml:space="preserve"> à voir cette décision.</w:t>
      </w:r>
    </w:p>
    <w:p w:rsidR="00EC6427" w:rsidRPr="00D23690" w:rsidRDefault="00F72410">
      <w:pPr>
        <w:pStyle w:val="ECHRPara"/>
      </w:pPr>
      <w:fldSimple w:instr=" SEQ level0 \*arabic ">
        <w:r w:rsidR="00886CF1">
          <w:rPr>
            <w:noProof/>
          </w:rPr>
          <w:t>29</w:t>
        </w:r>
      </w:fldSimple>
      <w:r w:rsidR="00101713" w:rsidRPr="00D23690">
        <w:t>.  En mars 20</w:t>
      </w:r>
      <w:r w:rsidR="00A82A74" w:rsidRPr="00D23690">
        <w:t>15, le Gouvernement informa la C</w:t>
      </w:r>
      <w:r w:rsidR="00101713" w:rsidRPr="00D23690">
        <w:t xml:space="preserve">our que le premier requérant était décédé en </w:t>
      </w:r>
      <w:r w:rsidR="002310E0">
        <w:t>janv</w:t>
      </w:r>
      <w:r w:rsidR="00101713" w:rsidRPr="00D23690">
        <w:t>ier 2015, en raison d</w:t>
      </w:r>
      <w:r>
        <w:t>’</w:t>
      </w:r>
      <w:r w:rsidR="00101713" w:rsidRPr="00D23690">
        <w:t>une insuffisance rénale, une complication fréquente des porteurs de la maladie de Hansen qui ne reçoivent pas le traitement médical approprié.</w:t>
      </w:r>
      <w:r w:rsidR="00A82A74" w:rsidRPr="00D23690">
        <w:t xml:space="preserve"> Le décès du premier requérant fut confirmé par les autres requérants dans une lettre du 2 mai 2015 faisant connaître leur intention de poursuivre la requête en son nom.</w:t>
      </w:r>
    </w:p>
    <w:p w:rsidR="0000732D" w:rsidRPr="00D23690" w:rsidRDefault="00F56B92" w:rsidP="00B33C50">
      <w:pPr>
        <w:pStyle w:val="ECHRHeading1"/>
      </w:pPr>
      <w:r w:rsidRPr="00D23690">
        <w:t>II.  LE DROIT</w:t>
      </w:r>
      <w:r w:rsidR="0000732D" w:rsidRPr="00D23690">
        <w:t xml:space="preserve"> INTERNE PERTINENT</w:t>
      </w:r>
    </w:p>
    <w:p w:rsidR="00221F58" w:rsidRPr="00D23690" w:rsidRDefault="00F72410" w:rsidP="00221F58">
      <w:pPr>
        <w:pStyle w:val="ECHRPara"/>
      </w:pPr>
      <w:fldSimple w:instr=" SEQ level0 \*arabic ">
        <w:r w:rsidR="00886CF1">
          <w:rPr>
            <w:noProof/>
          </w:rPr>
          <w:t>30</w:t>
        </w:r>
      </w:fldSimple>
      <w:r w:rsidR="008D61E3" w:rsidRPr="00D23690">
        <w:t>.  </w:t>
      </w:r>
      <w:r w:rsidR="00221F58" w:rsidRPr="00D23690">
        <w:t xml:space="preserve">Les dispositions pertinentes </w:t>
      </w:r>
      <w:r w:rsidR="000C6B8F" w:rsidRPr="00D23690">
        <w:t>en l</w:t>
      </w:r>
      <w:r>
        <w:t>’</w:t>
      </w:r>
      <w:r w:rsidR="000C6B8F" w:rsidRPr="00D23690">
        <w:t xml:space="preserve">espèce </w:t>
      </w:r>
      <w:r w:rsidR="00221F58" w:rsidRPr="00D23690">
        <w:t>de l</w:t>
      </w:r>
      <w:r>
        <w:t>’</w:t>
      </w:r>
      <w:r w:rsidR="00221F58" w:rsidRPr="00D23690">
        <w:t>article 20 de la loi n</w:t>
      </w:r>
      <w:r w:rsidR="00D23690" w:rsidRPr="00D23690">
        <w:rPr>
          <w:vertAlign w:val="superscript"/>
        </w:rPr>
        <w:t>o</w:t>
      </w:r>
      <w:r w:rsidR="000C6B8F" w:rsidRPr="00D23690">
        <w:t> </w:t>
      </w:r>
      <w:r w:rsidR="00221F58" w:rsidRPr="00D23690">
        <w:t>3172/2003 relative à l</w:t>
      </w:r>
      <w:r>
        <w:t>’</w:t>
      </w:r>
      <w:r w:rsidR="00221F58" w:rsidRPr="00D23690">
        <w:t>organisation</w:t>
      </w:r>
      <w:r w:rsidR="00E417D7" w:rsidRPr="00D23690">
        <w:t xml:space="preserve"> et la </w:t>
      </w:r>
      <w:r w:rsidR="00221F58" w:rsidRPr="00D23690">
        <w:t>modernisation des services de santé publique se lisent ainsi :</w:t>
      </w:r>
    </w:p>
    <w:p w:rsidR="00221F58" w:rsidRPr="00D23690" w:rsidRDefault="00886CF1" w:rsidP="00221F58">
      <w:pPr>
        <w:pStyle w:val="ECHRParaQuote"/>
      </w:pPr>
      <w:r>
        <w:t>« A. 1.  </w:t>
      </w:r>
      <w:r w:rsidR="00221F58" w:rsidRPr="00D23690">
        <w:t xml:space="preserve">En cas de risque de </w:t>
      </w:r>
      <w:r w:rsidR="000F7A09" w:rsidRPr="00D23690">
        <w:t xml:space="preserve">propagation </w:t>
      </w:r>
      <w:r w:rsidR="00221F58" w:rsidRPr="00D23690">
        <w:t>d</w:t>
      </w:r>
      <w:r w:rsidR="00F72410">
        <w:t>’</w:t>
      </w:r>
      <w:r w:rsidR="00221F58" w:rsidRPr="00D23690">
        <w:t xml:space="preserve">une maladie contagieuse qui pourrait avoir des incidences graves sur la santé publique, </w:t>
      </w:r>
      <w:r w:rsidR="000F7A09" w:rsidRPr="00D23690">
        <w:t>il est possible d</w:t>
      </w:r>
      <w:r w:rsidR="00F72410">
        <w:t>’</w:t>
      </w:r>
      <w:r w:rsidR="000F7A09" w:rsidRPr="00D23690">
        <w:t>imposer des restrictions à l</w:t>
      </w:r>
      <w:r w:rsidR="00F72410">
        <w:t>’</w:t>
      </w:r>
      <w:r w:rsidR="000F7A09" w:rsidRPr="00D23690">
        <w:t>entrée et à</w:t>
      </w:r>
      <w:r w:rsidR="00221F58" w:rsidRPr="00D23690">
        <w:t xml:space="preserve"> la circulation des personnes dans le pays, afin de diagnostiquer </w:t>
      </w:r>
      <w:r w:rsidR="000C6B8F" w:rsidRPr="00D23690">
        <w:t xml:space="preserve">cette maladie </w:t>
      </w:r>
      <w:r w:rsidR="00221F58" w:rsidRPr="00D23690">
        <w:t xml:space="preserve">et </w:t>
      </w:r>
      <w:r w:rsidR="000C6B8F" w:rsidRPr="00D23690">
        <w:t>d</w:t>
      </w:r>
      <w:r w:rsidR="00F72410">
        <w:t>’</w:t>
      </w:r>
      <w:r w:rsidR="000C6B8F" w:rsidRPr="00D23690">
        <w:t xml:space="preserve">en </w:t>
      </w:r>
      <w:r w:rsidR="00221F58" w:rsidRPr="00D23690">
        <w:t>empêcher la propagation.</w:t>
      </w:r>
    </w:p>
    <w:p w:rsidR="00221F58" w:rsidRPr="00D23690" w:rsidRDefault="00886CF1" w:rsidP="00221F58">
      <w:pPr>
        <w:pStyle w:val="ECHRParaQuote"/>
      </w:pPr>
      <w:r>
        <w:t>2.  </w:t>
      </w:r>
      <w:r w:rsidR="00221F58" w:rsidRPr="00D23690">
        <w:t>Ces mesures consistent en :</w:t>
      </w:r>
    </w:p>
    <w:p w:rsidR="00221F58" w:rsidRPr="00D23690" w:rsidRDefault="00886CF1" w:rsidP="00221F58">
      <w:pPr>
        <w:pStyle w:val="ECHRParaQuote"/>
      </w:pPr>
      <w:r>
        <w:t>a)  </w:t>
      </w:r>
      <w:r w:rsidR="00221F58" w:rsidRPr="00D23690">
        <w:t xml:space="preserve">la soumission à un contrôle et un suivi cliniques et biologiques, la vaccination, </w:t>
      </w:r>
      <w:r w:rsidR="00EA69A2" w:rsidRPr="00D23690">
        <w:t>l</w:t>
      </w:r>
      <w:r w:rsidR="00F72410">
        <w:t>’</w:t>
      </w:r>
      <w:r w:rsidR="00EA69A2" w:rsidRPr="00D23690">
        <w:t>imposition d</w:t>
      </w:r>
      <w:r w:rsidR="00F72410">
        <w:t>’</w:t>
      </w:r>
      <w:r w:rsidR="00221F58" w:rsidRPr="00D23690">
        <w:t xml:space="preserve">un traitement </w:t>
      </w:r>
      <w:r w:rsidR="00B870EA" w:rsidRPr="00D23690">
        <w:t>médical</w:t>
      </w:r>
      <w:r w:rsidR="00221F58" w:rsidRPr="00D23690">
        <w:t xml:space="preserve"> et l</w:t>
      </w:r>
      <w:r w:rsidR="00F72410">
        <w:t>’</w:t>
      </w:r>
      <w:r w:rsidR="00221F58" w:rsidRPr="00D23690">
        <w:t xml:space="preserve">hospitalisation </w:t>
      </w:r>
      <w:r w:rsidR="00043AC2" w:rsidRPr="00D23690">
        <w:t>pour les</w:t>
      </w:r>
      <w:r w:rsidR="00221F58" w:rsidRPr="00D23690">
        <w:t xml:space="preserve"> personnes pour lesquelles il existe des soupçons raisonnables de croire qu</w:t>
      </w:r>
      <w:r w:rsidR="00F72410">
        <w:t>’</w:t>
      </w:r>
      <w:r w:rsidR="00221F58" w:rsidRPr="00D23690">
        <w:t>elles peuvent transmettre directement ou indirectement la maladie ;</w:t>
      </w:r>
    </w:p>
    <w:p w:rsidR="00221F58" w:rsidRPr="00D23690" w:rsidRDefault="00221F58" w:rsidP="00221F58">
      <w:pPr>
        <w:pStyle w:val="ECHRParaQuote"/>
      </w:pPr>
      <w:r w:rsidRPr="00D23690">
        <w:t>b)</w:t>
      </w:r>
      <w:r w:rsidR="00886CF1">
        <w:t>  </w:t>
      </w:r>
      <w:r w:rsidRPr="00D23690">
        <w:t>l</w:t>
      </w:r>
      <w:r w:rsidR="00F72410">
        <w:t>’</w:t>
      </w:r>
      <w:r w:rsidR="000C6B8F" w:rsidRPr="00D23690">
        <w:t>isolement</w:t>
      </w:r>
      <w:r w:rsidRPr="00D23690">
        <w:t xml:space="preserve"> provisoire de ces personnes dans des conditions qui empêchent </w:t>
      </w:r>
      <w:r w:rsidR="00C16178" w:rsidRPr="00D23690">
        <w:t>tout</w:t>
      </w:r>
      <w:r w:rsidRPr="00D23690">
        <w:t xml:space="preserve"> contact</w:t>
      </w:r>
      <w:r w:rsidR="00C16178" w:rsidRPr="00D23690">
        <w:t xml:space="preserve"> avec des tiers</w:t>
      </w:r>
      <w:r w:rsidRPr="00D23690">
        <w:t xml:space="preserve"> </w:t>
      </w:r>
      <w:r w:rsidR="000C6B8F" w:rsidRPr="00D23690">
        <w:t>susceptible de</w:t>
      </w:r>
      <w:r w:rsidRPr="00D23690">
        <w:t xml:space="preserve"> </w:t>
      </w:r>
      <w:r w:rsidR="00922A88" w:rsidRPr="00D23690">
        <w:t xml:space="preserve">favoriser la </w:t>
      </w:r>
      <w:r w:rsidRPr="00D23690">
        <w:t>transm</w:t>
      </w:r>
      <w:r w:rsidR="00922A88" w:rsidRPr="00D23690">
        <w:t>ission de</w:t>
      </w:r>
      <w:r w:rsidRPr="00D23690">
        <w:t xml:space="preserve"> la maladie. Cet </w:t>
      </w:r>
      <w:r w:rsidR="000C6B8F" w:rsidRPr="00D23690">
        <w:t>isolement</w:t>
      </w:r>
      <w:r w:rsidRPr="00D23690">
        <w:t xml:space="preserve"> pourrait se faire dans </w:t>
      </w:r>
      <w:r w:rsidR="00C209DD" w:rsidRPr="00D23690">
        <w:t>l</w:t>
      </w:r>
      <w:r w:rsidR="00F72410">
        <w:t>’</w:t>
      </w:r>
      <w:r w:rsidRPr="00D23690">
        <w:t>espace approprié d</w:t>
      </w:r>
      <w:r w:rsidR="00F72410">
        <w:t>’</w:t>
      </w:r>
      <w:r w:rsidRPr="00D23690">
        <w:t>un établissement thérapeutique ou à domicile ;</w:t>
      </w:r>
    </w:p>
    <w:p w:rsidR="00221F58" w:rsidRPr="00D23690" w:rsidRDefault="00221F58" w:rsidP="00221F58">
      <w:pPr>
        <w:pStyle w:val="ECHRParaQuote"/>
      </w:pPr>
      <w:r w:rsidRPr="00D23690">
        <w:t>(</w:t>
      </w:r>
      <w:r w:rsidR="00D23690" w:rsidRPr="00D23690">
        <w:t>...</w:t>
      </w:r>
      <w:r w:rsidRPr="00D23690">
        <w:t>)</w:t>
      </w:r>
    </w:p>
    <w:p w:rsidR="00FB149A" w:rsidRPr="00D23690" w:rsidRDefault="00FB149A" w:rsidP="00221F58">
      <w:pPr>
        <w:pStyle w:val="ECHRParaQuote"/>
      </w:pPr>
      <w:r w:rsidRPr="00D23690">
        <w:t>4.</w:t>
      </w:r>
      <w:r w:rsidR="00886CF1">
        <w:t>  </w:t>
      </w:r>
      <w:r w:rsidRPr="00D23690">
        <w:t xml:space="preserve">Les organes compétents pour imposer les mesures prévues dans le présent article peuvent demander le concours des autorités compétentes en cas de résistance ou de trouble </w:t>
      </w:r>
      <w:r w:rsidR="008D1018" w:rsidRPr="00D23690">
        <w:t>à</w:t>
      </w:r>
      <w:r w:rsidRPr="00D23690">
        <w:t xml:space="preserve"> l</w:t>
      </w:r>
      <w:r w:rsidR="00F72410">
        <w:t>’</w:t>
      </w:r>
      <w:r w:rsidRPr="00D23690">
        <w:t>ordre public de la part de celui qui est sujet aux mesures ;</w:t>
      </w:r>
    </w:p>
    <w:p w:rsidR="00221F58" w:rsidRPr="00D23690" w:rsidRDefault="00886CF1" w:rsidP="00221F58">
      <w:pPr>
        <w:pStyle w:val="ECHRParaQuote"/>
      </w:pPr>
      <w:r>
        <w:t>5.  </w:t>
      </w:r>
      <w:r w:rsidR="00221F58" w:rsidRPr="00D23690">
        <w:t xml:space="preserve">Par </w:t>
      </w:r>
      <w:r w:rsidR="008D1018" w:rsidRPr="00D23690">
        <w:t xml:space="preserve">une </w:t>
      </w:r>
      <w:r w:rsidR="00221F58" w:rsidRPr="00D23690">
        <w:t>décision commune des ministres de l</w:t>
      </w:r>
      <w:r w:rsidR="00F72410">
        <w:t>’</w:t>
      </w:r>
      <w:r w:rsidR="00221F58" w:rsidRPr="00D23690">
        <w:t>Intérieur, de l</w:t>
      </w:r>
      <w:r w:rsidR="00F72410">
        <w:t>’</w:t>
      </w:r>
      <w:r w:rsidR="00221F58" w:rsidRPr="00D23690">
        <w:t xml:space="preserve">Administration et de la </w:t>
      </w:r>
      <w:r w:rsidR="008D1018" w:rsidRPr="00D23690">
        <w:t>d</w:t>
      </w:r>
      <w:r w:rsidR="00221F58" w:rsidRPr="00D23690">
        <w:t>écentralisation, de la Santé, de l</w:t>
      </w:r>
      <w:r w:rsidR="00F72410">
        <w:t>’</w:t>
      </w:r>
      <w:r w:rsidR="00221F58" w:rsidRPr="00D23690">
        <w:t xml:space="preserve">Ordre public et des Transports et </w:t>
      </w:r>
      <w:r w:rsidR="008D1018" w:rsidRPr="00D23690">
        <w:t>c</w:t>
      </w:r>
      <w:r w:rsidR="00221F58" w:rsidRPr="00D23690">
        <w:t xml:space="preserve">ommunications, prise après avis du Centre des maladies infectieuses, sont détaillés les mesures </w:t>
      </w:r>
      <w:r w:rsidR="008D1018" w:rsidRPr="00D23690">
        <w:rPr>
          <w:rFonts w:cstheme="minorHAnsi"/>
        </w:rPr>
        <w:t>[prévues au]</w:t>
      </w:r>
      <w:r w:rsidR="00221F58" w:rsidRPr="00D23690">
        <w:t xml:space="preserve"> présent article, les organes compétents pour les prendre, la procédure pour les imposer et les espaces et établissements dans lesquels </w:t>
      </w:r>
      <w:r w:rsidR="008D1018" w:rsidRPr="00D23690">
        <w:t>ces mesures</w:t>
      </w:r>
      <w:r w:rsidR="00221F58" w:rsidRPr="00D23690">
        <w:t xml:space="preserve"> peuvent être exécutées. Cette décision établit aussi </w:t>
      </w:r>
      <w:r w:rsidR="00E055E4" w:rsidRPr="00D23690">
        <w:t>le mode de notification d</w:t>
      </w:r>
      <w:r w:rsidR="00221F58" w:rsidRPr="00D23690">
        <w:t>es décisions d</w:t>
      </w:r>
      <w:r w:rsidR="00F72410">
        <w:t>’</w:t>
      </w:r>
      <w:r w:rsidR="00221F58" w:rsidRPr="00D23690">
        <w:t>application de ces mesures et règle toute question y relative.</w:t>
      </w:r>
    </w:p>
    <w:p w:rsidR="00221F58" w:rsidRPr="00D23690" w:rsidRDefault="00886CF1" w:rsidP="00221F58">
      <w:pPr>
        <w:pStyle w:val="ECHRParaQuote"/>
      </w:pPr>
      <w:r>
        <w:t>6.  </w:t>
      </w:r>
      <w:r w:rsidR="00221F58" w:rsidRPr="00D23690">
        <w:t>L</w:t>
      </w:r>
      <w:r w:rsidR="00F72410">
        <w:t>’</w:t>
      </w:r>
      <w:r w:rsidR="00221F58" w:rsidRPr="00D23690">
        <w:t>application</w:t>
      </w:r>
      <w:r w:rsidR="00E055E4" w:rsidRPr="00D23690">
        <w:t>, selon le cas,</w:t>
      </w:r>
      <w:r w:rsidR="00221F58" w:rsidRPr="00D23690">
        <w:t xml:space="preserve"> de toutes ou certaines des mesures du présent article est ordonnée par le ministre de la Santé chaque fois qu</w:t>
      </w:r>
      <w:r w:rsidR="00F72410">
        <w:t>’</w:t>
      </w:r>
      <w:r w:rsidR="00E055E4" w:rsidRPr="00D23690">
        <w:t>elle</w:t>
      </w:r>
      <w:r w:rsidR="00221F58" w:rsidRPr="00D23690">
        <w:t xml:space="preserve"> est jugée nécessaire pour écarter des risques afférents à la santé publique. La durée </w:t>
      </w:r>
      <w:r w:rsidR="00E055E4" w:rsidRPr="00D23690">
        <w:t>de mise en œuvre</w:t>
      </w:r>
      <w:r w:rsidR="00221F58" w:rsidRPr="00D23690">
        <w:t xml:space="preserve"> des mesures est fixée par la décision du ministre de la Santé qui ordonne leur application et </w:t>
      </w:r>
      <w:r w:rsidR="005D4228" w:rsidRPr="00D23690">
        <w:t xml:space="preserve">elle </w:t>
      </w:r>
      <w:r w:rsidR="00221F58" w:rsidRPr="00D23690">
        <w:t>peut être reno</w:t>
      </w:r>
      <w:r w:rsidR="000F7A09" w:rsidRPr="00D23690">
        <w:t>uvelée de la même manière. (</w:t>
      </w:r>
      <w:r w:rsidR="00D23690" w:rsidRPr="00D23690">
        <w:t>...</w:t>
      </w:r>
      <w:r w:rsidR="000F7A09" w:rsidRPr="00D23690">
        <w:t>).</w:t>
      </w:r>
    </w:p>
    <w:p w:rsidR="000F7A09" w:rsidRPr="00D23690" w:rsidRDefault="00886CF1" w:rsidP="00221F58">
      <w:pPr>
        <w:pStyle w:val="ECHRParaQuote"/>
      </w:pPr>
      <w:r>
        <w:t>7.  </w:t>
      </w:r>
      <w:r w:rsidR="000F7A09" w:rsidRPr="00D23690">
        <w:t>Toute personne affectée par les mesures prévues dans la présente loi a le droit de formuler des objections devant le président du tribunal administratif du lieu où les mesures sont prises. »</w:t>
      </w:r>
    </w:p>
    <w:p w:rsidR="00221F58" w:rsidRPr="00D23690" w:rsidRDefault="00F72410" w:rsidP="00221F58">
      <w:pPr>
        <w:pStyle w:val="ECHRPara"/>
      </w:pPr>
      <w:fldSimple w:instr=" SEQ level0 \*arabic ">
        <w:r w:rsidR="00886CF1">
          <w:rPr>
            <w:noProof/>
          </w:rPr>
          <w:t>31</w:t>
        </w:r>
      </w:fldSimple>
      <w:r w:rsidR="008D61E3" w:rsidRPr="00D23690">
        <w:t>.  </w:t>
      </w:r>
      <w:r w:rsidR="00140A63" w:rsidRPr="00D23690">
        <w:t xml:space="preserve">Les </w:t>
      </w:r>
      <w:r w:rsidR="00221F58" w:rsidRPr="00D23690">
        <w:t>article</w:t>
      </w:r>
      <w:r w:rsidR="00140A63" w:rsidRPr="00D23690">
        <w:t>s 2</w:t>
      </w:r>
      <w:r w:rsidR="00A317C4" w:rsidRPr="00D23690">
        <w:t>, 3,</w:t>
      </w:r>
      <w:r w:rsidR="00140A63" w:rsidRPr="00D23690">
        <w:t xml:space="preserve"> </w:t>
      </w:r>
      <w:r w:rsidR="00221F58" w:rsidRPr="00D23690">
        <w:t xml:space="preserve">8 </w:t>
      </w:r>
      <w:r w:rsidR="00A317C4" w:rsidRPr="00D23690">
        <w:t xml:space="preserve">et 11 </w:t>
      </w:r>
      <w:r w:rsidR="00221F58" w:rsidRPr="00D23690">
        <w:t>de la loi n</w:t>
      </w:r>
      <w:r w:rsidR="00D23690" w:rsidRPr="00D23690">
        <w:rPr>
          <w:vertAlign w:val="superscript"/>
        </w:rPr>
        <w:t>o</w:t>
      </w:r>
      <w:r w:rsidR="00221F58" w:rsidRPr="00D23690">
        <w:t xml:space="preserve"> 1137/1981 relative à l</w:t>
      </w:r>
      <w:r>
        <w:t>’</w:t>
      </w:r>
      <w:r w:rsidR="00221F58" w:rsidRPr="00D23690">
        <w:t xml:space="preserve">hospitalisation et </w:t>
      </w:r>
      <w:r w:rsidR="00B416F9" w:rsidRPr="00D23690">
        <w:t xml:space="preserve">à </w:t>
      </w:r>
      <w:r w:rsidR="00221F58" w:rsidRPr="00D23690">
        <w:t>la protection sociale des personnes atteintes de la maladie de Hansen prévoi</w:t>
      </w:r>
      <w:r w:rsidR="00B416F9" w:rsidRPr="00D23690">
        <w:t>en</w:t>
      </w:r>
      <w:r w:rsidR="00221F58" w:rsidRPr="00D23690">
        <w:t>t :</w:t>
      </w:r>
    </w:p>
    <w:p w:rsidR="00140A63" w:rsidRPr="00D23690" w:rsidRDefault="00140A63" w:rsidP="00D23690">
      <w:pPr>
        <w:pStyle w:val="ECHRTitleCentre3"/>
      </w:pPr>
      <w:r w:rsidRPr="00D23690">
        <w:t>Article 2</w:t>
      </w:r>
    </w:p>
    <w:p w:rsidR="00140A63" w:rsidRPr="00D23690" w:rsidRDefault="00140A63" w:rsidP="00221F58">
      <w:pPr>
        <w:pStyle w:val="ECHRParaQuote"/>
      </w:pPr>
      <w:r w:rsidRPr="00D23690">
        <w:t>« 1.</w:t>
      </w:r>
      <w:r w:rsidR="00886CF1">
        <w:t>  </w:t>
      </w:r>
      <w:r w:rsidRPr="00D23690">
        <w:t>Chaque cas avéré de la maladie de Hansen doit être obligatoirement rapporté aux services d</w:t>
      </w:r>
      <w:r w:rsidR="00F72410">
        <w:t>’</w:t>
      </w:r>
      <w:r w:rsidRPr="00D23690">
        <w:t>hygiène localement compétents par le médecin qui a examiné le malade. Chaque cas suspect est renvoyé à ces services afin que ceux-ci vérifient la manifestation de la maladie ou l</w:t>
      </w:r>
      <w:r w:rsidR="00F72410">
        <w:t>’</w:t>
      </w:r>
      <w:r w:rsidRPr="00D23690">
        <w:t>absence de symptômes.</w:t>
      </w:r>
    </w:p>
    <w:p w:rsidR="00140A63" w:rsidRPr="00D23690" w:rsidRDefault="00140A63" w:rsidP="00221F58">
      <w:pPr>
        <w:pStyle w:val="ECHRParaQuote"/>
      </w:pPr>
      <w:r w:rsidRPr="00D23690">
        <w:t>(</w:t>
      </w:r>
      <w:r w:rsidR="00D23690" w:rsidRPr="00D23690">
        <w:t>...</w:t>
      </w:r>
      <w:r w:rsidRPr="00D23690">
        <w:t>)</w:t>
      </w:r>
    </w:p>
    <w:p w:rsidR="00140A63" w:rsidRPr="00D23690" w:rsidRDefault="00886CF1" w:rsidP="00221F58">
      <w:pPr>
        <w:pStyle w:val="ECHRParaQuote"/>
      </w:pPr>
      <w:r>
        <w:t>3.  </w:t>
      </w:r>
      <w:r w:rsidR="00140A63" w:rsidRPr="00D23690">
        <w:t>Si le malade ou le service d</w:t>
      </w:r>
      <w:r w:rsidR="00F72410">
        <w:t>’</w:t>
      </w:r>
      <w:r w:rsidR="00140A63" w:rsidRPr="00D23690">
        <w:t xml:space="preserve">hygiène met en doute la justesse du diagnostic, le malade est soumis </w:t>
      </w:r>
      <w:r w:rsidR="008F2D98" w:rsidRPr="00D23690">
        <w:t xml:space="preserve">à un </w:t>
      </w:r>
      <w:r w:rsidR="00140A63" w:rsidRPr="00D23690">
        <w:t>nouvel examen effectué conjointement par un professeur (</w:t>
      </w:r>
      <w:r w:rsidR="00D23690" w:rsidRPr="00D23690">
        <w:t>...</w:t>
      </w:r>
      <w:r w:rsidR="00140A63" w:rsidRPr="00D23690">
        <w:t>) de dermatologie, le directeur scientifique du centre des personnes atteintes de la maladie de Hansen et un mé</w:t>
      </w:r>
      <w:r w:rsidR="001C50CB" w:rsidRPr="00D23690">
        <w:t xml:space="preserve">decin </w:t>
      </w:r>
      <w:r w:rsidR="008F2D98" w:rsidRPr="00D23690">
        <w:t>choisi par</w:t>
      </w:r>
      <w:r w:rsidR="001C50CB" w:rsidRPr="00D23690">
        <w:t xml:space="preserve"> l</w:t>
      </w:r>
      <w:r w:rsidR="00F72410">
        <w:t>’</w:t>
      </w:r>
      <w:r w:rsidR="001C50CB" w:rsidRPr="00D23690">
        <w:t>intéressé.</w:t>
      </w:r>
    </w:p>
    <w:p w:rsidR="001C50CB" w:rsidRPr="00D23690" w:rsidRDefault="00886CF1" w:rsidP="00221F58">
      <w:pPr>
        <w:pStyle w:val="ECHRParaQuote"/>
      </w:pPr>
      <w:r>
        <w:t>4.  </w:t>
      </w:r>
      <w:r w:rsidR="001C50CB" w:rsidRPr="00D23690">
        <w:t>Les services d</w:t>
      </w:r>
      <w:r w:rsidR="00F72410">
        <w:t>’</w:t>
      </w:r>
      <w:r w:rsidR="001C50CB" w:rsidRPr="00D23690">
        <w:t>hygiène et les services administratifs</w:t>
      </w:r>
      <w:r w:rsidR="00B04A9D" w:rsidRPr="00D23690">
        <w:t>,</w:t>
      </w:r>
      <w:r w:rsidR="001C50CB" w:rsidRPr="00D23690">
        <w:t xml:space="preserve"> ainsi que les médecins et les autres personnels hospitaliers </w:t>
      </w:r>
      <w:r w:rsidR="00B04A9D" w:rsidRPr="00D23690">
        <w:t xml:space="preserve">sont tenus de </w:t>
      </w:r>
      <w:r w:rsidR="001C50CB" w:rsidRPr="00D23690">
        <w:t>ne pas révéler aux tiers le fait qu</w:t>
      </w:r>
      <w:r w:rsidR="00F72410">
        <w:t>’</w:t>
      </w:r>
      <w:r w:rsidR="001C50CB" w:rsidRPr="00D23690">
        <w:t>une personne est atteinte de la maladie de Hansen. »</w:t>
      </w:r>
    </w:p>
    <w:p w:rsidR="00B0595E" w:rsidRPr="00D23690" w:rsidRDefault="00B0595E" w:rsidP="00D23690">
      <w:pPr>
        <w:pStyle w:val="ECHRTitleCentre3"/>
      </w:pPr>
      <w:r w:rsidRPr="00D23690">
        <w:t>Article 3</w:t>
      </w:r>
    </w:p>
    <w:p w:rsidR="00B0595E" w:rsidRPr="00D23690" w:rsidRDefault="00B0595E" w:rsidP="00221F58">
      <w:pPr>
        <w:pStyle w:val="ECHRParaQuote"/>
      </w:pPr>
      <w:r w:rsidRPr="00D23690">
        <w:t>« 1.</w:t>
      </w:r>
      <w:r w:rsidR="00886CF1">
        <w:t>  </w:t>
      </w:r>
      <w:r w:rsidRPr="00D23690">
        <w:t>Les personnes atteintes de la maladie de Hansen sont hospitalisé</w:t>
      </w:r>
      <w:r w:rsidR="00B04A9D" w:rsidRPr="00D23690">
        <w:t>e</w:t>
      </w:r>
      <w:r w:rsidRPr="00D23690">
        <w:t>s exclusivement dans les centres dermatologiques du pays ou à l</w:t>
      </w:r>
      <w:r w:rsidR="00F72410">
        <w:t>’</w:t>
      </w:r>
      <w:r w:rsidRPr="00D23690">
        <w:t>hôpital des maladies infectieuses, selon leur choix.</w:t>
      </w:r>
    </w:p>
    <w:p w:rsidR="00B0595E" w:rsidRPr="00D23690" w:rsidRDefault="00B0595E" w:rsidP="00221F58">
      <w:pPr>
        <w:pStyle w:val="ECHRParaQuote"/>
      </w:pPr>
      <w:r w:rsidRPr="00D23690">
        <w:t>L</w:t>
      </w:r>
      <w:r w:rsidR="00F72410">
        <w:t>’</w:t>
      </w:r>
      <w:r w:rsidRPr="00D23690">
        <w:t xml:space="preserve">hospitalisation des malades </w:t>
      </w:r>
      <w:r w:rsidR="00573F30" w:rsidRPr="00D23690">
        <w:t xml:space="preserve">présentant un </w:t>
      </w:r>
      <w:r w:rsidRPr="00D23690">
        <w:t>danger pour la santé publique à l</w:t>
      </w:r>
      <w:r w:rsidR="00F72410">
        <w:t>’</w:t>
      </w:r>
      <w:r w:rsidRPr="00D23690">
        <w:t>hôpital des maladies infectieuses est obligatoire seulement s</w:t>
      </w:r>
      <w:r w:rsidR="00F72410">
        <w:t>’</w:t>
      </w:r>
      <w:r w:rsidRPr="00D23690">
        <w:t xml:space="preserve">ils sont vagabonds ou </w:t>
      </w:r>
      <w:r w:rsidR="00E57868" w:rsidRPr="00D23690">
        <w:t>mendiants</w:t>
      </w:r>
      <w:r w:rsidRPr="00D23690">
        <w:t xml:space="preserve"> ou </w:t>
      </w:r>
      <w:r w:rsidR="007830AA" w:rsidRPr="00D23690">
        <w:t>sans</w:t>
      </w:r>
      <w:r w:rsidRPr="00D23690">
        <w:t xml:space="preserve"> </w:t>
      </w:r>
      <w:r w:rsidR="007830AA" w:rsidRPr="00D23690">
        <w:t>domicile</w:t>
      </w:r>
      <w:r w:rsidRPr="00D23690">
        <w:t xml:space="preserve"> familial et privés de moyens financiers.</w:t>
      </w:r>
    </w:p>
    <w:p w:rsidR="00B0595E" w:rsidRPr="00D23690" w:rsidRDefault="00886CF1" w:rsidP="00221F58">
      <w:pPr>
        <w:pStyle w:val="ECHRParaQuote"/>
      </w:pPr>
      <w:r>
        <w:t>2.  </w:t>
      </w:r>
      <w:r w:rsidR="00E57868" w:rsidRPr="00D23690">
        <w:t>Les soins à domicile des personnes atteintes de la maladie de Hansen sont permis si les autorités sanitaires compétentes estiment qu</w:t>
      </w:r>
      <w:r w:rsidR="00F72410">
        <w:t>’</w:t>
      </w:r>
      <w:r w:rsidR="00E57868" w:rsidRPr="00D23690">
        <w:t>il est possible qu</w:t>
      </w:r>
      <w:r w:rsidR="00994511" w:rsidRPr="00D23690">
        <w:t>e ces personnes</w:t>
      </w:r>
      <w:r w:rsidR="00E57868" w:rsidRPr="00D23690">
        <w:t xml:space="preserve"> vivent </w:t>
      </w:r>
      <w:r w:rsidR="006D3528" w:rsidRPr="00D23690">
        <w:rPr>
          <w:rFonts w:cstheme="minorHAnsi"/>
        </w:rPr>
        <w:t>[confiné</w:t>
      </w:r>
      <w:r w:rsidR="00994511" w:rsidRPr="00D23690">
        <w:rPr>
          <w:rFonts w:cstheme="minorHAnsi"/>
        </w:rPr>
        <w:t>e</w:t>
      </w:r>
      <w:r w:rsidR="006D3528" w:rsidRPr="00D23690">
        <w:rPr>
          <w:rFonts w:cstheme="minorHAnsi"/>
        </w:rPr>
        <w:t xml:space="preserve">s] </w:t>
      </w:r>
      <w:r w:rsidR="00E57868" w:rsidRPr="00D23690">
        <w:t>dans une pièce</w:t>
      </w:r>
      <w:r w:rsidR="006D3528" w:rsidRPr="00D23690">
        <w:t xml:space="preserve"> </w:t>
      </w:r>
      <w:r w:rsidR="006D3528" w:rsidRPr="00D23690">
        <w:rPr>
          <w:rFonts w:cstheme="minorHAnsi"/>
        </w:rPr>
        <w:t>[de leur domicile]</w:t>
      </w:r>
      <w:r w:rsidR="00E57868" w:rsidRPr="00D23690">
        <w:t xml:space="preserve"> pendant toute la durée d</w:t>
      </w:r>
      <w:r w:rsidR="00F72410">
        <w:t>’</w:t>
      </w:r>
      <w:r w:rsidR="00006501" w:rsidRPr="00D23690">
        <w:t>élimination</w:t>
      </w:r>
      <w:r w:rsidR="00E57868" w:rsidRPr="00D23690">
        <w:t xml:space="preserve"> des germes.</w:t>
      </w:r>
    </w:p>
    <w:p w:rsidR="00E57868" w:rsidRPr="00D23690" w:rsidRDefault="00E57868" w:rsidP="00221F58">
      <w:pPr>
        <w:pStyle w:val="ECHRParaQuote"/>
      </w:pPr>
      <w:r w:rsidRPr="00D23690">
        <w:t>(</w:t>
      </w:r>
      <w:r w:rsidR="00D23690" w:rsidRPr="00D23690">
        <w:t>...</w:t>
      </w:r>
      <w:r w:rsidRPr="00D23690">
        <w:t>) »</w:t>
      </w:r>
    </w:p>
    <w:p w:rsidR="00140A63" w:rsidRPr="00D23690" w:rsidRDefault="00140A63" w:rsidP="00D23690">
      <w:pPr>
        <w:pStyle w:val="ECHRTitleCentre3"/>
      </w:pPr>
      <w:r w:rsidRPr="00D23690">
        <w:t>Article 8</w:t>
      </w:r>
    </w:p>
    <w:p w:rsidR="00221F58" w:rsidRPr="00D23690" w:rsidRDefault="00221F58" w:rsidP="00221F58">
      <w:pPr>
        <w:pStyle w:val="ECHRParaQuote"/>
      </w:pPr>
      <w:r w:rsidRPr="00D23690">
        <w:t>« (</w:t>
      </w:r>
      <w:r w:rsidR="00D23690" w:rsidRPr="00D23690">
        <w:t>...</w:t>
      </w:r>
      <w:r w:rsidRPr="00D23690">
        <w:t>)</w:t>
      </w:r>
    </w:p>
    <w:p w:rsidR="00F72410" w:rsidRDefault="00886CF1" w:rsidP="00221F58">
      <w:pPr>
        <w:pStyle w:val="ECHRParaQuote"/>
      </w:pPr>
      <w:r>
        <w:t>2.  </w:t>
      </w:r>
      <w:r w:rsidR="00221F58" w:rsidRPr="00D23690">
        <w:t xml:space="preserve">Les personnes atteintes de la maladie de Hansen qui </w:t>
      </w:r>
      <w:r w:rsidR="00CC130E" w:rsidRPr="00D23690">
        <w:t>ne présentent pas un</w:t>
      </w:r>
      <w:r w:rsidR="00221F58" w:rsidRPr="00D23690">
        <w:t xml:space="preserve"> danger pour la santé publique peuvent :</w:t>
      </w:r>
    </w:p>
    <w:p w:rsidR="00F72410" w:rsidRDefault="00886CF1" w:rsidP="00221F58">
      <w:pPr>
        <w:pStyle w:val="ECHRParaQuote"/>
      </w:pPr>
      <w:r>
        <w:t>a)  </w:t>
      </w:r>
      <w:r w:rsidR="00221F58" w:rsidRPr="00D23690">
        <w:t>s</w:t>
      </w:r>
      <w:r w:rsidR="00F72410">
        <w:t>’</w:t>
      </w:r>
      <w:r w:rsidR="00221F58" w:rsidRPr="00D23690">
        <w:t>ils sont élèves ou étudiants dans des établissements de l</w:t>
      </w:r>
      <w:r w:rsidR="00F72410">
        <w:t>’</w:t>
      </w:r>
      <w:r w:rsidR="00221F58" w:rsidRPr="00D23690">
        <w:t xml:space="preserve">enseignement supérieur, continuer leurs cours </w:t>
      </w:r>
      <w:r w:rsidR="00CC130E" w:rsidRPr="00D23690">
        <w:t>ou</w:t>
      </w:r>
      <w:r w:rsidR="00221F58" w:rsidRPr="00D23690">
        <w:t xml:space="preserve"> études avec les autres élèves </w:t>
      </w:r>
      <w:r w:rsidR="00CC130E" w:rsidRPr="00D23690">
        <w:t>ou</w:t>
      </w:r>
      <w:r w:rsidR="00221F58" w:rsidRPr="00D23690">
        <w:t xml:space="preserve"> étudiants ;</w:t>
      </w:r>
    </w:p>
    <w:p w:rsidR="00F72410" w:rsidRDefault="00886CF1" w:rsidP="00221F58">
      <w:pPr>
        <w:pStyle w:val="ECHRParaQuote"/>
      </w:pPr>
      <w:r>
        <w:t>b)  </w:t>
      </w:r>
      <w:r w:rsidR="00221F58" w:rsidRPr="00D23690">
        <w:t>s</w:t>
      </w:r>
      <w:r w:rsidR="00F72410">
        <w:t>’</w:t>
      </w:r>
      <w:r w:rsidR="00221F58" w:rsidRPr="00D23690">
        <w:t>ils travaillent, conclure tout type de contrat et exercer toute profession</w:t>
      </w:r>
    </w:p>
    <w:p w:rsidR="00221F58" w:rsidRPr="00D23690" w:rsidRDefault="00221F58" w:rsidP="00221F58">
      <w:pPr>
        <w:pStyle w:val="ECHRParaQuote"/>
      </w:pPr>
      <w:r w:rsidRPr="00D23690">
        <w:t>à la suite d</w:t>
      </w:r>
      <w:r w:rsidR="00F72410">
        <w:t>’</w:t>
      </w:r>
      <w:r w:rsidRPr="00D23690">
        <w:t xml:space="preserve">un avis de la commission composée des professeurs de dermatologie, </w:t>
      </w:r>
      <w:r w:rsidR="00CC130E" w:rsidRPr="00D23690">
        <w:t xml:space="preserve">de </w:t>
      </w:r>
      <w:r w:rsidRPr="00D23690">
        <w:t xml:space="preserve">microbiologie et </w:t>
      </w:r>
      <w:r w:rsidR="00CC130E" w:rsidRPr="00D23690">
        <w:t>d</w:t>
      </w:r>
      <w:r w:rsidR="00F72410">
        <w:t>’</w:t>
      </w:r>
      <w:r w:rsidRPr="00D23690">
        <w:t>hygiène de l</w:t>
      </w:r>
      <w:r w:rsidR="00F72410">
        <w:t>’</w:t>
      </w:r>
      <w:r w:rsidR="00006501" w:rsidRPr="00D23690">
        <w:t>u</w:t>
      </w:r>
      <w:r w:rsidRPr="00D23690">
        <w:t>niversité d</w:t>
      </w:r>
      <w:r w:rsidR="00F72410">
        <w:t>’</w:t>
      </w:r>
      <w:r w:rsidRPr="00D23690">
        <w:t>Athènes (</w:t>
      </w:r>
      <w:r w:rsidR="00D23690" w:rsidRPr="00D23690">
        <w:t>...</w:t>
      </w:r>
      <w:r w:rsidRPr="00D23690">
        <w:t>).</w:t>
      </w:r>
    </w:p>
    <w:p w:rsidR="00221F58" w:rsidRPr="00D23690" w:rsidRDefault="00221F58" w:rsidP="00221F58">
      <w:pPr>
        <w:pStyle w:val="ECHRParaQuote"/>
      </w:pPr>
      <w:r w:rsidRPr="00D23690">
        <w:t xml:space="preserve">La nomination des professeurs susmentionnés aura lieu par décision du ministre des Services sociaux, sur proposition de la </w:t>
      </w:r>
      <w:r w:rsidR="00CC130E" w:rsidRPr="00D23690">
        <w:t>f</w:t>
      </w:r>
      <w:r w:rsidRPr="00D23690">
        <w:t>aculté de médecine de l</w:t>
      </w:r>
      <w:r w:rsidR="00F72410">
        <w:t>’</w:t>
      </w:r>
      <w:r w:rsidR="000134A6" w:rsidRPr="00D23690">
        <w:t>u</w:t>
      </w:r>
      <w:r w:rsidRPr="00D23690">
        <w:t>niversité d</w:t>
      </w:r>
      <w:r w:rsidR="00F72410">
        <w:t>’</w:t>
      </w:r>
      <w:r w:rsidRPr="00D23690">
        <w:t>Athènes</w:t>
      </w:r>
      <w:r w:rsidR="000134A6" w:rsidRPr="00D23690">
        <w:t>,</w:t>
      </w:r>
      <w:r w:rsidRPr="00D23690">
        <w:t xml:space="preserve"> pour un mandat de trois ans.</w:t>
      </w:r>
    </w:p>
    <w:p w:rsidR="00221F58" w:rsidRPr="00D23690" w:rsidRDefault="000134A6" w:rsidP="00221F58">
      <w:pPr>
        <w:pStyle w:val="ECHRParaQuote"/>
      </w:pPr>
      <w:r w:rsidRPr="00D23690">
        <w:t xml:space="preserve">Cette </w:t>
      </w:r>
      <w:r w:rsidR="00221F58" w:rsidRPr="00D23690">
        <w:t>commission siégera seulement lorsqu</w:t>
      </w:r>
      <w:r w:rsidR="00F72410">
        <w:t>’</w:t>
      </w:r>
      <w:r w:rsidR="00221F58" w:rsidRPr="00D23690">
        <w:t>il s</w:t>
      </w:r>
      <w:r w:rsidR="00F72410">
        <w:t>’</w:t>
      </w:r>
      <w:r w:rsidR="00221F58" w:rsidRPr="00D23690">
        <w:t>agira d</w:t>
      </w:r>
      <w:r w:rsidR="00F72410">
        <w:t>’</w:t>
      </w:r>
      <w:r w:rsidR="00221F58" w:rsidRPr="00D23690">
        <w:t xml:space="preserve">examiner une personne atteinte de la maladie de Hansen qui a guéri, </w:t>
      </w:r>
      <w:r w:rsidR="00A317C4" w:rsidRPr="00D23690">
        <w:t>à l</w:t>
      </w:r>
      <w:r w:rsidR="00F72410">
        <w:t>’</w:t>
      </w:r>
      <w:r w:rsidR="00A317C4" w:rsidRPr="00D23690">
        <w:t>initiative</w:t>
      </w:r>
      <w:r w:rsidR="00221F58" w:rsidRPr="00D23690">
        <w:t xml:space="preserve"> de la </w:t>
      </w:r>
      <w:r w:rsidR="00A317C4" w:rsidRPr="00D23690">
        <w:t>d</w:t>
      </w:r>
      <w:r w:rsidR="00221F58" w:rsidRPr="00D23690">
        <w:t>irection de l</w:t>
      </w:r>
      <w:r w:rsidR="00F72410">
        <w:t>’</w:t>
      </w:r>
      <w:r w:rsidR="008050D6" w:rsidRPr="00D23690">
        <w:t>h</w:t>
      </w:r>
      <w:r w:rsidR="00221F58" w:rsidRPr="00D23690">
        <w:t>ygiène publique du ministère des Services sociaux saisie par l</w:t>
      </w:r>
      <w:r w:rsidR="00F72410">
        <w:t>’</w:t>
      </w:r>
      <w:r w:rsidR="00221F58" w:rsidRPr="00D23690">
        <w:t>intéressé.</w:t>
      </w:r>
    </w:p>
    <w:p w:rsidR="00221F58" w:rsidRPr="00D23690" w:rsidRDefault="00221F58" w:rsidP="00221F58">
      <w:pPr>
        <w:pStyle w:val="ECHRParaQuote"/>
      </w:pPr>
      <w:r w:rsidRPr="00D23690">
        <w:t>(</w:t>
      </w:r>
      <w:r w:rsidR="00D23690" w:rsidRPr="00D23690">
        <w:t>...</w:t>
      </w:r>
      <w:r w:rsidRPr="00D23690">
        <w:t>) »</w:t>
      </w:r>
    </w:p>
    <w:p w:rsidR="00403F94" w:rsidRPr="00D23690" w:rsidRDefault="00403F94" w:rsidP="00D23690">
      <w:pPr>
        <w:pStyle w:val="ECHRTitleCentre3"/>
      </w:pPr>
      <w:r w:rsidRPr="00D23690">
        <w:t>Article 11</w:t>
      </w:r>
    </w:p>
    <w:p w:rsidR="00403F94" w:rsidRPr="00D23690" w:rsidRDefault="00886CF1" w:rsidP="00221F58">
      <w:pPr>
        <w:pStyle w:val="ECHRParaQuote"/>
      </w:pPr>
      <w:r>
        <w:t>« 1.  </w:t>
      </w:r>
      <w:r w:rsidR="00403F94" w:rsidRPr="00D23690">
        <w:t>Celui qui sait qu</w:t>
      </w:r>
      <w:r w:rsidR="00F72410">
        <w:t>’</w:t>
      </w:r>
      <w:r w:rsidR="00403F94" w:rsidRPr="00D23690">
        <w:t xml:space="preserve">il est atteint de la maladie de Hansen et </w:t>
      </w:r>
      <w:r w:rsidR="005361A5" w:rsidRPr="00D23690">
        <w:t xml:space="preserve">qui </w:t>
      </w:r>
      <w:r w:rsidR="00403F94" w:rsidRPr="00D23690">
        <w:t xml:space="preserve">ne se soumet pas </w:t>
      </w:r>
      <w:r w:rsidR="0068155E" w:rsidRPr="00D23690">
        <w:t>à un</w:t>
      </w:r>
      <w:r w:rsidR="00403F94" w:rsidRPr="00D23690">
        <w:t xml:space="preserve"> traitement approprié est </w:t>
      </w:r>
      <w:r w:rsidR="005E178F" w:rsidRPr="00D23690">
        <w:t>sanctionné</w:t>
      </w:r>
      <w:r w:rsidR="00403F94" w:rsidRPr="00D23690">
        <w:t xml:space="preserve"> au moyen de : l</w:t>
      </w:r>
      <w:r w:rsidR="00F72410">
        <w:t>’</w:t>
      </w:r>
      <w:r w:rsidR="00403F94" w:rsidRPr="00D23690">
        <w:t>admission et l</w:t>
      </w:r>
      <w:r w:rsidR="00F72410">
        <w:t>’</w:t>
      </w:r>
      <w:r w:rsidR="00403F94" w:rsidRPr="00D23690">
        <w:t xml:space="preserve">hospitalisation </w:t>
      </w:r>
      <w:r w:rsidR="00E61903" w:rsidRPr="00D23690">
        <w:t xml:space="preserve">obligatoires </w:t>
      </w:r>
      <w:r w:rsidR="00403F94" w:rsidRPr="00D23690">
        <w:t>à la clinique du centre des personnes atteintes de la maladie de Hansen de l</w:t>
      </w:r>
      <w:r w:rsidR="00F72410">
        <w:t>’</w:t>
      </w:r>
      <w:r w:rsidR="00403F94" w:rsidRPr="00D23690">
        <w:t>hôpital des maladies infectieuses</w:t>
      </w:r>
      <w:r w:rsidR="00E61903" w:rsidRPr="00D23690">
        <w:t xml:space="preserve"> jusqu</w:t>
      </w:r>
      <w:r w:rsidR="00F72410">
        <w:t>’</w:t>
      </w:r>
      <w:r w:rsidR="00E61903" w:rsidRPr="00D23690">
        <w:t>à sa guérison</w:t>
      </w:r>
      <w:r w:rsidR="00403F94" w:rsidRPr="00D23690">
        <w:t> ; la privation du droit de sortie provisoire prévu à l</w:t>
      </w:r>
      <w:r w:rsidR="00F72410">
        <w:t>’</w:t>
      </w:r>
      <w:r w:rsidR="00403F94" w:rsidRPr="00D23690">
        <w:t>article 4 § 2 ; l</w:t>
      </w:r>
      <w:r w:rsidR="00F72410">
        <w:t>’</w:t>
      </w:r>
      <w:r w:rsidR="00403F94" w:rsidRPr="00D23690">
        <w:t xml:space="preserve">interruption </w:t>
      </w:r>
      <w:r w:rsidR="00E61903" w:rsidRPr="00D23690">
        <w:t xml:space="preserve">du versement </w:t>
      </w:r>
      <w:r w:rsidR="00403F94" w:rsidRPr="00D23690">
        <w:t>de l</w:t>
      </w:r>
      <w:r w:rsidR="00F72410">
        <w:t>’</w:t>
      </w:r>
      <w:r w:rsidR="00403F94" w:rsidRPr="00D23690">
        <w:t>allocation</w:t>
      </w:r>
      <w:r w:rsidR="00690C93" w:rsidRPr="00D23690">
        <w:t xml:space="preserve"> </w:t>
      </w:r>
      <w:r w:rsidR="00E61903" w:rsidRPr="00D23690">
        <w:t xml:space="preserve">prévue </w:t>
      </w:r>
      <w:r w:rsidR="00690C93" w:rsidRPr="00D23690">
        <w:t xml:space="preserve">pour les </w:t>
      </w:r>
      <w:r w:rsidR="00403F94" w:rsidRPr="00D23690">
        <w:t>soins. »</w:t>
      </w:r>
    </w:p>
    <w:p w:rsidR="000C2F44" w:rsidRPr="00D23690" w:rsidRDefault="00F72410" w:rsidP="000C2F44">
      <w:pPr>
        <w:pStyle w:val="ECHRPara"/>
      </w:pPr>
      <w:fldSimple w:instr=" SEQ level0 \*arabic ">
        <w:r w:rsidR="00886CF1">
          <w:rPr>
            <w:noProof/>
          </w:rPr>
          <w:t>32</w:t>
        </w:r>
      </w:fldSimple>
      <w:r w:rsidR="000C2F44" w:rsidRPr="00D23690">
        <w:t>.  L</w:t>
      </w:r>
      <w:r>
        <w:t>’</w:t>
      </w:r>
      <w:r w:rsidR="000C2F44" w:rsidRPr="00D23690">
        <w:t>article 105 de la loi d</w:t>
      </w:r>
      <w:r>
        <w:t>’</w:t>
      </w:r>
      <w:r w:rsidR="000C2F44" w:rsidRPr="00D23690">
        <w:t>accompagnement du code civil se lit comme suit :</w:t>
      </w:r>
    </w:p>
    <w:p w:rsidR="000C2F44" w:rsidRPr="00D23690" w:rsidRDefault="000C2F44" w:rsidP="00D23690">
      <w:pPr>
        <w:pStyle w:val="ECHRTitleCentre3"/>
      </w:pPr>
      <w:r w:rsidRPr="00D23690">
        <w:t>Article 105</w:t>
      </w:r>
    </w:p>
    <w:p w:rsidR="000C2F44" w:rsidRPr="00D23690" w:rsidRDefault="000C2F44" w:rsidP="000C2F44">
      <w:pPr>
        <w:pStyle w:val="ECHRParaQuote"/>
      </w:pPr>
      <w:r w:rsidRPr="00D23690">
        <w:t>« L</w:t>
      </w:r>
      <w:r w:rsidR="00F72410">
        <w:t>’</w:t>
      </w:r>
      <w:r w:rsidRPr="00D23690">
        <w:t>Etat est tenu de réparer le dommage causé par les actes illégaux ou omissions de ses organes lors de l</w:t>
      </w:r>
      <w:r w:rsidR="00F72410">
        <w:t>’</w:t>
      </w:r>
      <w:r w:rsidRPr="00D23690">
        <w:t xml:space="preserve">exercice de la puissance publique, </w:t>
      </w:r>
      <w:r w:rsidR="0068155E" w:rsidRPr="00D23690">
        <w:t xml:space="preserve">sauf si les actes ou omissions </w:t>
      </w:r>
      <w:r w:rsidR="0068155E" w:rsidRPr="00D23690">
        <w:rPr>
          <w:rFonts w:cstheme="minorHAnsi"/>
        </w:rPr>
        <w:t>[</w:t>
      </w:r>
      <w:r w:rsidR="0068155E" w:rsidRPr="00D23690">
        <w:t>en question</w:t>
      </w:r>
      <w:r w:rsidR="0068155E" w:rsidRPr="00D23690">
        <w:rPr>
          <w:rFonts w:cstheme="minorHAnsi"/>
        </w:rPr>
        <w:t>]</w:t>
      </w:r>
      <w:r w:rsidR="0068155E" w:rsidRPr="00D23690">
        <w:t xml:space="preserve"> ont </w:t>
      </w:r>
      <w:r w:rsidRPr="00D23690">
        <w:t>eu lieu en méconnaissance d</w:t>
      </w:r>
      <w:r w:rsidR="00F72410">
        <w:t>’</w:t>
      </w:r>
      <w:r w:rsidRPr="00D23690">
        <w:t xml:space="preserve">une disposition </w:t>
      </w:r>
      <w:r w:rsidR="0068155E" w:rsidRPr="00D23690">
        <w:t>destinée à</w:t>
      </w:r>
      <w:r w:rsidRPr="00D23690">
        <w:t xml:space="preserve"> servir l</w:t>
      </w:r>
      <w:r w:rsidR="00F72410">
        <w:t>’</w:t>
      </w:r>
      <w:r w:rsidRPr="00D23690">
        <w:t xml:space="preserve">intérêt public. </w:t>
      </w:r>
      <w:r w:rsidR="00ED0745" w:rsidRPr="00D23690">
        <w:t>L</w:t>
      </w:r>
      <w:r w:rsidR="00F72410">
        <w:t>’</w:t>
      </w:r>
      <w:r w:rsidR="00ED0745" w:rsidRPr="00D23690">
        <w:t xml:space="preserve">organe fautif </w:t>
      </w:r>
      <w:r w:rsidRPr="00D23690">
        <w:t>est solidairement responsable avec l</w:t>
      </w:r>
      <w:r w:rsidR="00F72410">
        <w:t>’</w:t>
      </w:r>
      <w:r w:rsidRPr="00D23690">
        <w:t>Etat, sous réserve des dispositions spéciales sur la responsabilité des ministres. »</w:t>
      </w:r>
    </w:p>
    <w:p w:rsidR="000C2F44" w:rsidRPr="00D23690" w:rsidRDefault="00F72410" w:rsidP="000C2F44">
      <w:pPr>
        <w:pStyle w:val="ECHRPara"/>
        <w:keepNext/>
        <w:keepLines/>
      </w:pPr>
      <w:fldSimple w:instr=" SEQ level0 \*arabic ">
        <w:r w:rsidR="00886CF1">
          <w:rPr>
            <w:noProof/>
          </w:rPr>
          <w:t>33</w:t>
        </w:r>
      </w:fldSimple>
      <w:r w:rsidR="000C2F44" w:rsidRPr="00D23690">
        <w:t xml:space="preserve">.  Les articles pertinents </w:t>
      </w:r>
      <w:r w:rsidR="000C6B8F" w:rsidRPr="00D23690">
        <w:t>en l</w:t>
      </w:r>
      <w:r>
        <w:t>’</w:t>
      </w:r>
      <w:r w:rsidR="000C6B8F" w:rsidRPr="00D23690">
        <w:t xml:space="preserve">espèce </w:t>
      </w:r>
      <w:r w:rsidR="000C2F44" w:rsidRPr="00D23690">
        <w:t>du code civil disposent :</w:t>
      </w:r>
    </w:p>
    <w:p w:rsidR="000C2F44" w:rsidRPr="00D23690" w:rsidRDefault="000C2F44" w:rsidP="000C2F44">
      <w:pPr>
        <w:pStyle w:val="ECHRTitleCentre3"/>
      </w:pPr>
      <w:r w:rsidRPr="00D23690">
        <w:t>Article 57</w:t>
      </w:r>
    </w:p>
    <w:p w:rsidR="000C2F44" w:rsidRPr="00D23690" w:rsidRDefault="000C2F44" w:rsidP="000C2F44">
      <w:pPr>
        <w:pStyle w:val="ECHRParaQuote"/>
      </w:pPr>
      <w:r w:rsidRPr="00D23690">
        <w:t>« Celui qui est atteint d</w:t>
      </w:r>
      <w:r w:rsidR="00F72410">
        <w:t>’</w:t>
      </w:r>
      <w:r w:rsidRPr="00D23690">
        <w:t>une manière illicite dans sa personnalité a le droit d</w:t>
      </w:r>
      <w:r w:rsidR="00F72410">
        <w:t>’</w:t>
      </w:r>
      <w:r w:rsidRPr="00D23690">
        <w:t>exiger la suppression de l</w:t>
      </w:r>
      <w:r w:rsidR="00F72410">
        <w:t>’</w:t>
      </w:r>
      <w:r w:rsidRPr="00D23690">
        <w:t>atteinte et, en outre, l</w:t>
      </w:r>
      <w:r w:rsidR="00F72410">
        <w:t>’</w:t>
      </w:r>
      <w:r w:rsidRPr="00D23690">
        <w:t>abstention de toute atteinte à l</w:t>
      </w:r>
      <w:r w:rsidR="00F72410">
        <w:t>’</w:t>
      </w:r>
      <w:r w:rsidRPr="00D23690">
        <w:t>avenir. En cas d</w:t>
      </w:r>
      <w:r w:rsidR="00F72410">
        <w:t>’</w:t>
      </w:r>
      <w:r w:rsidRPr="00D23690">
        <w:t>atteinte à la personnalité d</w:t>
      </w:r>
      <w:r w:rsidR="00F72410">
        <w:t>’</w:t>
      </w:r>
      <w:r w:rsidRPr="00D23690">
        <w:t>une personne décédée, ce droit appartient aux conjoint, descendants, ascendants, frères et sœurs et héritiers testamentaires du défunt.</w:t>
      </w:r>
    </w:p>
    <w:p w:rsidR="000C2F44" w:rsidRPr="00D23690" w:rsidRDefault="000C2F44" w:rsidP="000C2F44">
      <w:pPr>
        <w:pStyle w:val="ECHRParaQuote"/>
      </w:pPr>
      <w:r w:rsidRPr="00D23690">
        <w:t xml:space="preserve">En outre, la prétention à des dommages-intérêts, </w:t>
      </w:r>
      <w:r w:rsidR="00C74400" w:rsidRPr="00D23690">
        <w:t>conformément aux</w:t>
      </w:r>
      <w:r w:rsidRPr="00D23690">
        <w:t xml:space="preserve"> dispositions relatives aux actes illicites, n</w:t>
      </w:r>
      <w:r w:rsidR="00F72410">
        <w:t>’</w:t>
      </w:r>
      <w:r w:rsidRPr="00D23690">
        <w:t>est pas exclue. »</w:t>
      </w:r>
    </w:p>
    <w:p w:rsidR="000C2F44" w:rsidRPr="00D23690" w:rsidRDefault="000C2F44" w:rsidP="000C2F44">
      <w:pPr>
        <w:pStyle w:val="ECHRTitleCentre3"/>
      </w:pPr>
      <w:r w:rsidRPr="00D23690">
        <w:t>Article 932</w:t>
      </w:r>
    </w:p>
    <w:p w:rsidR="000C2F44" w:rsidRPr="00D23690" w:rsidRDefault="000C2F44" w:rsidP="000C2F44">
      <w:pPr>
        <w:pStyle w:val="ECHRParaQuote"/>
      </w:pPr>
      <w:r w:rsidRPr="00D23690">
        <w:t>« Indépendamment de l</w:t>
      </w:r>
      <w:r w:rsidR="00F72410">
        <w:t>’</w:t>
      </w:r>
      <w:r w:rsidRPr="00D23690">
        <w:t xml:space="preserve">indemnité due à raison du préjudice patrimonial causé par un acte illicite, le tribunal peut accorder une réparation pécuniaire raisonnable, </w:t>
      </w:r>
      <w:r w:rsidR="00C74400" w:rsidRPr="00D23690">
        <w:t>selon</w:t>
      </w:r>
      <w:r w:rsidRPr="00D23690">
        <w:t xml:space="preserve"> son appréciation, pour cause de préjudice moral. Ceci </w:t>
      </w:r>
      <w:r w:rsidR="00C74400" w:rsidRPr="00D23690">
        <w:t>vaut</w:t>
      </w:r>
      <w:r w:rsidRPr="00D23690">
        <w:t xml:space="preserve"> notamment à l</w:t>
      </w:r>
      <w:r w:rsidR="00F72410">
        <w:t>’</w:t>
      </w:r>
      <w:r w:rsidRPr="00D23690">
        <w:t>égard de celui qui a subi une atteinte à sa santé,</w:t>
      </w:r>
      <w:r w:rsidR="00875644" w:rsidRPr="00D23690">
        <w:t xml:space="preserve"> à son honneur ou à </w:t>
      </w:r>
      <w:r w:rsidR="004367F1" w:rsidRPr="00D23690">
        <w:t>sa chasteté</w:t>
      </w:r>
      <w:r w:rsidRPr="00D23690">
        <w:t>, ou qui a été privé de sa liberté. (...) »</w:t>
      </w:r>
    </w:p>
    <w:p w:rsidR="00EC6427" w:rsidRPr="00D23690" w:rsidRDefault="00EC6427" w:rsidP="00B33C50">
      <w:pPr>
        <w:pStyle w:val="ECHRTitle1"/>
      </w:pPr>
      <w:r w:rsidRPr="00D23690">
        <w:t>EN DROIT</w:t>
      </w:r>
    </w:p>
    <w:p w:rsidR="000D4625" w:rsidRPr="00D23690" w:rsidRDefault="000D4625" w:rsidP="000D4625">
      <w:pPr>
        <w:pStyle w:val="ECHRHeading1"/>
      </w:pPr>
      <w:r w:rsidRPr="00D23690">
        <w:t>I. </w:t>
      </w:r>
      <w:r w:rsidR="00E74165" w:rsidRPr="00D23690">
        <w:t> SUR LE D</w:t>
      </w:r>
      <w:r w:rsidR="00E74165" w:rsidRPr="00D23690">
        <w:rPr>
          <w:rFonts w:cstheme="majorHAnsi"/>
        </w:rPr>
        <w:t>É</w:t>
      </w:r>
      <w:r w:rsidR="00E74165" w:rsidRPr="00D23690">
        <w:t>C</w:t>
      </w:r>
      <w:r w:rsidR="00E74165" w:rsidRPr="00D23690">
        <w:rPr>
          <w:rFonts w:cstheme="majorHAnsi"/>
        </w:rPr>
        <w:t>È</w:t>
      </w:r>
      <w:r w:rsidR="00E74165" w:rsidRPr="00D23690">
        <w:t>S DU PR</w:t>
      </w:r>
      <w:r w:rsidR="00C0442F" w:rsidRPr="00D23690">
        <w:rPr>
          <w:rFonts w:cstheme="majorHAnsi"/>
        </w:rPr>
        <w:t>E</w:t>
      </w:r>
      <w:r w:rsidR="00E74165" w:rsidRPr="00D23690">
        <w:t>MIER REQU</w:t>
      </w:r>
      <w:r w:rsidR="00E74165" w:rsidRPr="00D23690">
        <w:rPr>
          <w:rFonts w:cstheme="majorHAnsi"/>
        </w:rPr>
        <w:t>É</w:t>
      </w:r>
      <w:r w:rsidRPr="00D23690">
        <w:t>RANT</w:t>
      </w:r>
    </w:p>
    <w:p w:rsidR="000D4625" w:rsidRPr="00D23690" w:rsidRDefault="00663BE0" w:rsidP="000D4625">
      <w:pPr>
        <w:pStyle w:val="ECHRPara"/>
      </w:pPr>
      <w:r w:rsidRPr="00D23690">
        <w:rPr>
          <w:rFonts w:cstheme="minorHAnsi"/>
        </w:rPr>
        <w:fldChar w:fldCharType="begin"/>
      </w:r>
      <w:r w:rsidRPr="00D23690">
        <w:rPr>
          <w:rFonts w:cstheme="minorHAnsi"/>
        </w:rPr>
        <w:instrText xml:space="preserve"> SEQ level0 \*arabic </w:instrText>
      </w:r>
      <w:r w:rsidRPr="00D23690">
        <w:rPr>
          <w:rFonts w:cstheme="minorHAnsi"/>
        </w:rPr>
        <w:fldChar w:fldCharType="separate"/>
      </w:r>
      <w:r w:rsidR="00886CF1">
        <w:rPr>
          <w:rFonts w:cstheme="minorHAnsi"/>
          <w:noProof/>
        </w:rPr>
        <w:t>34</w:t>
      </w:r>
      <w:r w:rsidRPr="00D23690">
        <w:rPr>
          <w:rFonts w:cstheme="minorHAnsi"/>
        </w:rPr>
        <w:fldChar w:fldCharType="end"/>
      </w:r>
      <w:r w:rsidRPr="00D23690">
        <w:rPr>
          <w:rFonts w:cstheme="minorHAnsi"/>
        </w:rPr>
        <w:t>.  </w:t>
      </w:r>
      <w:r w:rsidR="00E74165" w:rsidRPr="00D23690">
        <w:rPr>
          <w:rFonts w:cstheme="minorHAnsi"/>
        </w:rPr>
        <w:t>Á</w:t>
      </w:r>
      <w:r w:rsidR="000D4625" w:rsidRPr="00D23690">
        <w:t xml:space="preserve"> la suite du décès du premier requérant, son épouse et ses enfants, également requérants, ont fait part de leur intention de poursuivre la requête en son nom. Dans ces conditions, </w:t>
      </w:r>
      <w:r w:rsidRPr="00D23690">
        <w:t>se conformant à sa jurisprudence, la Cour estime, eu égard à l</w:t>
      </w:r>
      <w:r w:rsidR="00F72410">
        <w:t>’</w:t>
      </w:r>
      <w:r w:rsidRPr="00D23690">
        <w:t>objet de la présente affaire et à l</w:t>
      </w:r>
      <w:r w:rsidR="00F72410">
        <w:t>’</w:t>
      </w:r>
      <w:r w:rsidRPr="00D23690">
        <w:t>ensemble des éléments dont elle dispose, que la veuve et les enfants du requérant possèdent un intérêt légitime à maintenir la requête au nom du défunt. Elle leur reconnaît dès lors qualité pour se substituer désormais à ce requérant (</w:t>
      </w:r>
      <w:r w:rsidRPr="00D23690">
        <w:rPr>
          <w:i/>
        </w:rPr>
        <w:t>Carrella c. Italie</w:t>
      </w:r>
      <w:r w:rsidRPr="00D23690">
        <w:t>, n</w:t>
      </w:r>
      <w:r w:rsidR="00D23690" w:rsidRPr="00D23690">
        <w:rPr>
          <w:vertAlign w:val="superscript"/>
        </w:rPr>
        <w:t>o</w:t>
      </w:r>
      <w:r w:rsidRPr="00D23690">
        <w:t xml:space="preserve"> 33955/07, § 51, 9 septembre 2014).</w:t>
      </w:r>
    </w:p>
    <w:p w:rsidR="00875644" w:rsidRPr="00D23690" w:rsidRDefault="000D4625" w:rsidP="00875644">
      <w:pPr>
        <w:pStyle w:val="ECHRHeading1"/>
      </w:pPr>
      <w:r w:rsidRPr="00D23690">
        <w:t>I</w:t>
      </w:r>
      <w:r w:rsidR="00330941" w:rsidRPr="00D23690">
        <w:t>I.  SUR LA RECEVABILIT</w:t>
      </w:r>
      <w:r w:rsidR="00161732" w:rsidRPr="00D23690">
        <w:rPr>
          <w:caps/>
        </w:rPr>
        <w:t>é</w:t>
      </w:r>
    </w:p>
    <w:p w:rsidR="00CB2A3D" w:rsidRPr="00D23690" w:rsidRDefault="00F72410" w:rsidP="00CB2A3D">
      <w:pPr>
        <w:pStyle w:val="ECHRPara"/>
      </w:pPr>
      <w:fldSimple w:instr=" SEQ level0 \*arabic ">
        <w:r w:rsidR="00886CF1">
          <w:rPr>
            <w:noProof/>
          </w:rPr>
          <w:t>35</w:t>
        </w:r>
      </w:fldSimple>
      <w:r w:rsidR="00A75132" w:rsidRPr="00D23690">
        <w:t>.  </w:t>
      </w:r>
      <w:r w:rsidR="00CB2A3D" w:rsidRPr="00D23690">
        <w:t xml:space="preserve">Les requérants </w:t>
      </w:r>
      <w:r w:rsidR="007360B4" w:rsidRPr="00D23690">
        <w:t>déclarent</w:t>
      </w:r>
      <w:r w:rsidR="00CB2A3D" w:rsidRPr="00D23690">
        <w:t xml:space="preserve"> qu</w:t>
      </w:r>
      <w:r>
        <w:t>’</w:t>
      </w:r>
      <w:r w:rsidR="007360B4" w:rsidRPr="00D23690">
        <w:t>un premier examen clinique a diagnostiqué qu</w:t>
      </w:r>
      <w:r>
        <w:t>’</w:t>
      </w:r>
      <w:r w:rsidR="007360B4" w:rsidRPr="00D23690">
        <w:t>ils étaient porteurs de la maladie de Hansen et que, à la suite de cet examen, ils ont fait l</w:t>
      </w:r>
      <w:r>
        <w:t>’</w:t>
      </w:r>
      <w:r w:rsidR="007360B4" w:rsidRPr="00D23690">
        <w:t>objet d</w:t>
      </w:r>
      <w:r>
        <w:t>’</w:t>
      </w:r>
      <w:r w:rsidR="007360B4" w:rsidRPr="00D23690">
        <w:t>un internement</w:t>
      </w:r>
      <w:r w:rsidR="00CB2A3D" w:rsidRPr="00D23690">
        <w:t xml:space="preserve"> dans un hôpital public et </w:t>
      </w:r>
      <w:r w:rsidR="007360B4" w:rsidRPr="00D23690">
        <w:t xml:space="preserve">ont été soumis à </w:t>
      </w:r>
      <w:r w:rsidR="00CB2A3D" w:rsidRPr="00D23690">
        <w:t>l</w:t>
      </w:r>
      <w:r>
        <w:t>’</w:t>
      </w:r>
      <w:r w:rsidR="00CB2A3D" w:rsidRPr="00D23690">
        <w:t>administration d</w:t>
      </w:r>
      <w:r>
        <w:t>’</w:t>
      </w:r>
      <w:r w:rsidR="00CB2A3D" w:rsidRPr="00D23690">
        <w:t>un traitement</w:t>
      </w:r>
      <w:r w:rsidR="007360B4" w:rsidRPr="00D23690">
        <w:t xml:space="preserve"> médical. Ils soutiennent que cette situation a</w:t>
      </w:r>
      <w:r w:rsidR="00CB2A3D" w:rsidRPr="00D23690">
        <w:t xml:space="preserve"> donné lieu à quatre violations de la Convention</w:t>
      </w:r>
      <w:r w:rsidR="008806D6" w:rsidRPr="00D23690">
        <w:t>. E</w:t>
      </w:r>
      <w:r w:rsidR="00CB2A3D" w:rsidRPr="00D23690">
        <w:t xml:space="preserve">n premier lieu, </w:t>
      </w:r>
      <w:r w:rsidR="008806D6" w:rsidRPr="00D23690">
        <w:t>invoquant l</w:t>
      </w:r>
      <w:r>
        <w:t>’</w:t>
      </w:r>
      <w:r w:rsidR="008806D6" w:rsidRPr="00D23690">
        <w:t xml:space="preserve">article 5 de la Convention, les intéressés </w:t>
      </w:r>
      <w:r w:rsidR="0004268E" w:rsidRPr="00D23690">
        <w:t xml:space="preserve">reprochent aux autorités de les avoir </w:t>
      </w:r>
      <w:r w:rsidR="007360B4" w:rsidRPr="00D23690">
        <w:t>intern</w:t>
      </w:r>
      <w:r w:rsidR="0004268E" w:rsidRPr="00D23690">
        <w:t>és, et ce</w:t>
      </w:r>
      <w:r w:rsidR="008806D6" w:rsidRPr="00D23690">
        <w:t>, d</w:t>
      </w:r>
      <w:r>
        <w:t>’</w:t>
      </w:r>
      <w:r w:rsidR="008806D6" w:rsidRPr="00D23690">
        <w:t>après eux,</w:t>
      </w:r>
      <w:r w:rsidR="00CB2A3D" w:rsidRPr="00D23690">
        <w:t xml:space="preserve"> </w:t>
      </w:r>
      <w:r w:rsidR="008806D6" w:rsidRPr="00D23690">
        <w:t>en l</w:t>
      </w:r>
      <w:r>
        <w:t>’</w:t>
      </w:r>
      <w:r w:rsidR="008806D6" w:rsidRPr="00D23690">
        <w:t>absence de confirmation du diagnostic et d</w:t>
      </w:r>
      <w:r>
        <w:t>’</w:t>
      </w:r>
      <w:r w:rsidR="008806D6" w:rsidRPr="00D23690">
        <w:t xml:space="preserve">une </w:t>
      </w:r>
      <w:r w:rsidR="00CB2A3D" w:rsidRPr="00D23690">
        <w:t>décision administrative exécutoire motivée et susceptible de recours</w:t>
      </w:r>
      <w:r w:rsidR="008806D6" w:rsidRPr="00D23690">
        <w:t>. E</w:t>
      </w:r>
      <w:r w:rsidR="00DA1F90" w:rsidRPr="00D23690">
        <w:t xml:space="preserve">n deuxième lieu, </w:t>
      </w:r>
      <w:r w:rsidR="008806D6" w:rsidRPr="00D23690">
        <w:t>se fondant sur l</w:t>
      </w:r>
      <w:r>
        <w:t>’</w:t>
      </w:r>
      <w:r w:rsidR="008806D6" w:rsidRPr="00D23690">
        <w:t>article 8 de la Convention</w:t>
      </w:r>
      <w:r w:rsidR="00663BE0" w:rsidRPr="00D23690">
        <w:t xml:space="preserve"> et </w:t>
      </w:r>
      <w:r w:rsidR="0067335A" w:rsidRPr="00D23690">
        <w:t>sur le préjudice corporel subi d</w:t>
      </w:r>
      <w:r w:rsidR="00663BE0" w:rsidRPr="00D23690">
        <w:t>u fait de leur traitement médical</w:t>
      </w:r>
      <w:r w:rsidR="008806D6" w:rsidRPr="00D23690">
        <w:t xml:space="preserve">, </w:t>
      </w:r>
      <w:r w:rsidR="00DA1F90" w:rsidRPr="00D23690">
        <w:t>i</w:t>
      </w:r>
      <w:r w:rsidR="00CB2A3D" w:rsidRPr="00D23690">
        <w:t>ls se plaignent d</w:t>
      </w:r>
      <w:r>
        <w:t>’</w:t>
      </w:r>
      <w:r w:rsidR="00CB2A3D" w:rsidRPr="00D23690">
        <w:t>une atteinte à leur vie privée</w:t>
      </w:r>
      <w:r w:rsidR="0067335A" w:rsidRPr="00D23690">
        <w:t>.</w:t>
      </w:r>
      <w:r w:rsidR="007977A7" w:rsidRPr="00D23690">
        <w:t xml:space="preserve"> </w:t>
      </w:r>
      <w:r w:rsidR="0067335A" w:rsidRPr="00D23690">
        <w:t>I</w:t>
      </w:r>
      <w:r w:rsidR="007977A7" w:rsidRPr="00D23690">
        <w:t>ls estiment</w:t>
      </w:r>
      <w:r w:rsidR="00663BE0" w:rsidRPr="00D23690">
        <w:t xml:space="preserve"> aussi</w:t>
      </w:r>
      <w:r w:rsidR="007977A7" w:rsidRPr="00D23690">
        <w:t xml:space="preserve"> avoir subi une</w:t>
      </w:r>
      <w:r w:rsidR="008806D6" w:rsidRPr="00D23690">
        <w:t xml:space="preserve"> stigmatisation sociale</w:t>
      </w:r>
      <w:r w:rsidR="007977A7" w:rsidRPr="00D23690">
        <w:t xml:space="preserve"> </w:t>
      </w:r>
      <w:r w:rsidR="008806D6" w:rsidRPr="00D23690">
        <w:t>dans leur</w:t>
      </w:r>
      <w:r w:rsidR="00CB2A3D" w:rsidRPr="00D23690">
        <w:t xml:space="preserve"> ville</w:t>
      </w:r>
      <w:r w:rsidR="008806D6" w:rsidRPr="00D23690">
        <w:t xml:space="preserve"> à la</w:t>
      </w:r>
      <w:r w:rsidR="00CB2A3D" w:rsidRPr="00D23690">
        <w:t xml:space="preserve"> suite</w:t>
      </w:r>
      <w:r w:rsidR="007977A7" w:rsidRPr="00D23690">
        <w:t>, d</w:t>
      </w:r>
      <w:r>
        <w:t>’</w:t>
      </w:r>
      <w:r w:rsidR="007977A7" w:rsidRPr="00D23690">
        <w:t>après eux,</w:t>
      </w:r>
      <w:r w:rsidR="008806D6" w:rsidRPr="00D23690">
        <w:t xml:space="preserve"> de</w:t>
      </w:r>
      <w:r w:rsidR="00CB2A3D" w:rsidRPr="00D23690">
        <w:t xml:space="preserve"> divulgation</w:t>
      </w:r>
      <w:r w:rsidR="007977A7" w:rsidRPr="00D23690">
        <w:t>s</w:t>
      </w:r>
      <w:r w:rsidR="00CB2A3D" w:rsidRPr="00D23690">
        <w:t xml:space="preserve"> </w:t>
      </w:r>
      <w:r w:rsidR="00D72E82" w:rsidRPr="00D23690">
        <w:t xml:space="preserve">qui auraient été faites </w:t>
      </w:r>
      <w:r w:rsidR="00ED07B1" w:rsidRPr="00D23690">
        <w:t>auprès d</w:t>
      </w:r>
      <w:r w:rsidR="00435025" w:rsidRPr="00D23690">
        <w:t>es médias</w:t>
      </w:r>
      <w:r w:rsidR="007977A7" w:rsidRPr="00D23690">
        <w:t xml:space="preserve"> sur leur état de « lépreux » </w:t>
      </w:r>
      <w:r w:rsidR="00CB2A3D" w:rsidRPr="00D23690">
        <w:t>par les autorités de l</w:t>
      </w:r>
      <w:r>
        <w:t>’</w:t>
      </w:r>
      <w:r w:rsidR="00CB2A3D" w:rsidRPr="00D23690">
        <w:t xml:space="preserve">hôpital et de la </w:t>
      </w:r>
      <w:r w:rsidR="008806D6" w:rsidRPr="00D23690">
        <w:t>d</w:t>
      </w:r>
      <w:r w:rsidR="00CB2A3D" w:rsidRPr="00D23690">
        <w:t xml:space="preserve">irection de la santé publique de la </w:t>
      </w:r>
      <w:r w:rsidR="008806D6" w:rsidRPr="00D23690">
        <w:t>r</w:t>
      </w:r>
      <w:r w:rsidR="00CB2A3D" w:rsidRPr="00D23690">
        <w:t>égion</w:t>
      </w:r>
      <w:r w:rsidR="007977A7" w:rsidRPr="00D23690">
        <w:t>.</w:t>
      </w:r>
      <w:r w:rsidR="00CB2A3D" w:rsidRPr="00D23690">
        <w:t xml:space="preserve"> </w:t>
      </w:r>
      <w:r w:rsidR="00DA1F90" w:rsidRPr="00D23690">
        <w:t xml:space="preserve">En troisième lieu, </w:t>
      </w:r>
      <w:r w:rsidR="008806D6" w:rsidRPr="00D23690">
        <w:t>sur la base de l</w:t>
      </w:r>
      <w:r>
        <w:t>’</w:t>
      </w:r>
      <w:r w:rsidR="008806D6" w:rsidRPr="00D23690">
        <w:t>article 2 du Protocole n</w:t>
      </w:r>
      <w:r w:rsidR="00D23690" w:rsidRPr="00D23690">
        <w:rPr>
          <w:vertAlign w:val="superscript"/>
        </w:rPr>
        <w:t>o</w:t>
      </w:r>
      <w:r w:rsidR="008806D6" w:rsidRPr="00D23690">
        <w:t xml:space="preserve"> 1 à la Convention, </w:t>
      </w:r>
      <w:r w:rsidR="00DA1F90" w:rsidRPr="00D23690">
        <w:t xml:space="preserve">ils </w:t>
      </w:r>
      <w:r w:rsidR="00A25F03" w:rsidRPr="00D23690">
        <w:t>reprochent aux autorités d</w:t>
      </w:r>
      <w:r>
        <w:t>’</w:t>
      </w:r>
      <w:r w:rsidR="00A25F03" w:rsidRPr="00D23690">
        <w:t>avoir procédé à</w:t>
      </w:r>
      <w:r w:rsidR="008806D6" w:rsidRPr="00D23690">
        <w:t xml:space="preserve"> l</w:t>
      </w:r>
      <w:r>
        <w:t>’</w:t>
      </w:r>
      <w:r w:rsidR="008806D6" w:rsidRPr="00D23690">
        <w:t>exclusion d</w:t>
      </w:r>
      <w:r w:rsidR="00DA1F90" w:rsidRPr="00D23690">
        <w:t xml:space="preserve">es troisième et quatrième requérants </w:t>
      </w:r>
      <w:r w:rsidR="00CB2A3D" w:rsidRPr="00D23690">
        <w:t>de l</w:t>
      </w:r>
      <w:r w:rsidR="008806D6" w:rsidRPr="00D23690">
        <w:t xml:space="preserve">eur </w:t>
      </w:r>
      <w:r w:rsidR="00CB2A3D" w:rsidRPr="00D23690">
        <w:t>école pendant plus de six mois</w:t>
      </w:r>
      <w:r w:rsidR="008806D6" w:rsidRPr="00D23690">
        <w:t>. E</w:t>
      </w:r>
      <w:r w:rsidR="00DA1F90" w:rsidRPr="00D23690">
        <w:t>n quatrième lieu</w:t>
      </w:r>
      <w:r w:rsidR="00CB2A3D" w:rsidRPr="00D23690">
        <w:t xml:space="preserve">, </w:t>
      </w:r>
      <w:r w:rsidR="008806D6" w:rsidRPr="00D23690">
        <w:t>sur le fondement de l</w:t>
      </w:r>
      <w:r>
        <w:t>’</w:t>
      </w:r>
      <w:r w:rsidR="008806D6" w:rsidRPr="00D23690">
        <w:t xml:space="preserve">article 13 de la Convention, </w:t>
      </w:r>
      <w:r w:rsidR="00CB2A3D" w:rsidRPr="00D23690">
        <w:t xml:space="preserve">ils se plaignent </w:t>
      </w:r>
      <w:r w:rsidR="00EA2153" w:rsidRPr="00D23690">
        <w:t>de l</w:t>
      </w:r>
      <w:r>
        <w:t>’</w:t>
      </w:r>
      <w:r w:rsidR="00EA2153" w:rsidRPr="00D23690">
        <w:t>absence d</w:t>
      </w:r>
      <w:r>
        <w:t>’</w:t>
      </w:r>
      <w:r w:rsidR="00CB2A3D" w:rsidRPr="00D23690">
        <w:t xml:space="preserve">un recours effectif </w:t>
      </w:r>
      <w:r w:rsidR="00EA2153" w:rsidRPr="00D23690">
        <w:t>dans l</w:t>
      </w:r>
      <w:r>
        <w:t>’</w:t>
      </w:r>
      <w:r w:rsidR="00EA2153" w:rsidRPr="00D23690">
        <w:t xml:space="preserve">ordre juridique grec </w:t>
      </w:r>
      <w:r w:rsidR="00CB2A3D" w:rsidRPr="00D23690">
        <w:t>pour solliciter la levée des mesures précitées ou leur remplacement par d</w:t>
      </w:r>
      <w:r>
        <w:t>’</w:t>
      </w:r>
      <w:r w:rsidR="00CB2A3D" w:rsidRPr="00D23690">
        <w:t xml:space="preserve">autres </w:t>
      </w:r>
      <w:r w:rsidR="00D72E82" w:rsidRPr="00D23690">
        <w:t xml:space="preserve">dispositifs </w:t>
      </w:r>
      <w:r w:rsidR="00CB2A3D" w:rsidRPr="00D23690">
        <w:t>moins sévères.</w:t>
      </w:r>
    </w:p>
    <w:p w:rsidR="00BE6F79" w:rsidRPr="00D23690" w:rsidRDefault="00F72410" w:rsidP="00BE6F79">
      <w:pPr>
        <w:pStyle w:val="ECHRPara"/>
      </w:pPr>
      <w:fldSimple w:instr=" SEQ level0 \*arabic ">
        <w:r w:rsidR="00886CF1">
          <w:rPr>
            <w:noProof/>
          </w:rPr>
          <w:t>36</w:t>
        </w:r>
      </w:fldSimple>
      <w:r w:rsidR="00BE6F79" w:rsidRPr="00D23690">
        <w:t>.  Le Gouvernement excipe en premier lieu du non-épuisement des voies de recours internes. Il souligne, de manière générale et en ce qui concerne l</w:t>
      </w:r>
      <w:r>
        <w:t>’</w:t>
      </w:r>
      <w:r w:rsidR="00BE6F79" w:rsidRPr="00D23690">
        <w:t>intégralité de leurs griefs, que les requérants ont omis d</w:t>
      </w:r>
      <w:r>
        <w:t>’</w:t>
      </w:r>
      <w:r w:rsidR="00BE6F79" w:rsidRPr="00D23690">
        <w:t>utiliser les voies de recours suivantes : l</w:t>
      </w:r>
      <w:r>
        <w:t>’</w:t>
      </w:r>
      <w:r w:rsidR="00BE6F79" w:rsidRPr="00D23690">
        <w:t>action en dommages-intérêts fondée sur les articles 57 et 932 du code civil et sur l</w:t>
      </w:r>
      <w:r>
        <w:t>’</w:t>
      </w:r>
      <w:r w:rsidR="00BE6F79" w:rsidRPr="00D23690">
        <w:t>article 105 de la loi d</w:t>
      </w:r>
      <w:r>
        <w:t>’</w:t>
      </w:r>
      <w:r w:rsidR="00BE6F79" w:rsidRPr="00D23690">
        <w:t>accompagnement du code civil ; l</w:t>
      </w:r>
      <w:r>
        <w:t>’</w:t>
      </w:r>
      <w:r w:rsidR="00BE6F79" w:rsidRPr="00D23690">
        <w:t>action auprès des juridictions pénales tendant à la protection de leur honneur et de leur réputation ainsi qu</w:t>
      </w:r>
      <w:r>
        <w:t>’</w:t>
      </w:r>
      <w:r w:rsidR="00BE6F79" w:rsidRPr="00D23690">
        <w:t>à la vérification de l</w:t>
      </w:r>
      <w:r>
        <w:t>’</w:t>
      </w:r>
      <w:r w:rsidR="00BE6F79" w:rsidRPr="00D23690">
        <w:t>existence d</w:t>
      </w:r>
      <w:r>
        <w:t>’</w:t>
      </w:r>
      <w:r w:rsidR="00BE6F79" w:rsidRPr="00D23690">
        <w:t>un préjudice corporel subi en raison du traitement médical ; le recours devant la commission précitée prévu par les articles 2 § 3 et 8 de la loi n</w:t>
      </w:r>
      <w:r w:rsidR="00D23690" w:rsidRPr="00D23690">
        <w:rPr>
          <w:vertAlign w:val="superscript"/>
        </w:rPr>
        <w:t>o</w:t>
      </w:r>
      <w:r w:rsidR="00BE6F79" w:rsidRPr="00D23690">
        <w:t> 1137/1981 afin de contester la justesse du diagnostic ; la formulation d</w:t>
      </w:r>
      <w:r>
        <w:t>’</w:t>
      </w:r>
      <w:r w:rsidR="00BE6F79" w:rsidRPr="00D23690">
        <w:t>objections prévue par l</w:t>
      </w:r>
      <w:r>
        <w:t>’</w:t>
      </w:r>
      <w:r w:rsidR="00BE6F79" w:rsidRPr="00D23690">
        <w:t>article 20, A1, alinéa 7 de la loi n</w:t>
      </w:r>
      <w:r w:rsidR="00D23690" w:rsidRPr="00D23690">
        <w:rPr>
          <w:vertAlign w:val="superscript"/>
        </w:rPr>
        <w:t>o</w:t>
      </w:r>
      <w:r w:rsidR="00BE6F79" w:rsidRPr="00D23690">
        <w:t xml:space="preserve"> 3172/2003 devant le président du tribunal administratif ; la saisine du médiateur de la République.</w:t>
      </w:r>
    </w:p>
    <w:p w:rsidR="00BE6F79" w:rsidRPr="00D23690" w:rsidRDefault="00F72410" w:rsidP="00BE6F79">
      <w:pPr>
        <w:pStyle w:val="ECHRPara"/>
      </w:pPr>
      <w:fldSimple w:instr=" SEQ level0 \*arabic ">
        <w:r w:rsidR="00886CF1">
          <w:rPr>
            <w:noProof/>
          </w:rPr>
          <w:t>37</w:t>
        </w:r>
      </w:fldSimple>
      <w:r w:rsidR="00BE6F79" w:rsidRPr="00D23690">
        <w:t xml:space="preserve">.  Les requérants </w:t>
      </w:r>
      <w:r w:rsidR="00757864" w:rsidRPr="00D23690">
        <w:t xml:space="preserve">rétorquent </w:t>
      </w:r>
      <w:r w:rsidR="00BE6F79" w:rsidRPr="00D23690">
        <w:t>qu</w:t>
      </w:r>
      <w:r>
        <w:t>’</w:t>
      </w:r>
      <w:r w:rsidR="00BE6F79" w:rsidRPr="00D23690">
        <w:t>ils étaient confinés à l</w:t>
      </w:r>
      <w:r>
        <w:t>’</w:t>
      </w:r>
      <w:r w:rsidR="00BE6F79" w:rsidRPr="00D23690">
        <w:t xml:space="preserve">hôpital de </w:t>
      </w:r>
      <w:r w:rsidR="007039CF" w:rsidRPr="00D23690">
        <w:t>Rion</w:t>
      </w:r>
      <w:r w:rsidR="00BE6F79" w:rsidRPr="00D23690">
        <w:t xml:space="preserve"> sans l</w:t>
      </w:r>
      <w:r>
        <w:t>’</w:t>
      </w:r>
      <w:r w:rsidR="00BE6F79" w:rsidRPr="00D23690">
        <w:t>assistance d</w:t>
      </w:r>
      <w:r>
        <w:t>’</w:t>
      </w:r>
      <w:r w:rsidR="00BE6F79" w:rsidRPr="00D23690">
        <w:t>un avocat et dans l</w:t>
      </w:r>
      <w:r>
        <w:t>’</w:t>
      </w:r>
      <w:r w:rsidR="00BE6F79" w:rsidRPr="00D23690">
        <w:t>impossibilité financière de désigner un médecin pour les représenter devant la commission prévue à l</w:t>
      </w:r>
      <w:r>
        <w:t>’</w:t>
      </w:r>
      <w:r w:rsidR="00BE6F79" w:rsidRPr="00D23690">
        <w:t>article 8 de la loi n</w:t>
      </w:r>
      <w:r w:rsidR="00D23690" w:rsidRPr="00D23690">
        <w:rPr>
          <w:vertAlign w:val="superscript"/>
        </w:rPr>
        <w:t>o</w:t>
      </w:r>
      <w:r w:rsidR="00BE6F79" w:rsidRPr="00D23690">
        <w:t xml:space="preserve"> 1137/1981. Ils indiquent que, lorsque le premier requérant a été diagnostiqué à l</w:t>
      </w:r>
      <w:r>
        <w:t>’</w:t>
      </w:r>
      <w:r w:rsidR="00BE6F79" w:rsidRPr="00D23690">
        <w:t>hôpital « Aghia Varvara » comme non-porteur de la maladie, ils en ont immédiatement informé tous les services compétents, mais en vain à leurs yeux car, d</w:t>
      </w:r>
      <w:r>
        <w:t>’</w:t>
      </w:r>
      <w:r w:rsidR="00BE6F79" w:rsidRPr="00D23690">
        <w:t>après eux, les mesures restrictives n</w:t>
      </w:r>
      <w:r>
        <w:t>’</w:t>
      </w:r>
      <w:r w:rsidR="00BE6F79" w:rsidRPr="00D23690">
        <w:t>ont pas été levées. Ils soutiennent par ailleurs qu</w:t>
      </w:r>
      <w:r>
        <w:t>’</w:t>
      </w:r>
      <w:r w:rsidR="00BE6F79" w:rsidRPr="00D23690">
        <w:t>ils ne pouvaient pas saisir les juridictions administratives étant donné que, selon eux, les mesures litigieuses n</w:t>
      </w:r>
      <w:r>
        <w:t>’</w:t>
      </w:r>
      <w:r w:rsidR="00BE6F79" w:rsidRPr="00D23690">
        <w:t>étaient fondées sur aucun acte administratif exécutoire. Ils considèrent que ces mesures étaient des voies de fait imposées par des fonctionnaires et qu</w:t>
      </w:r>
      <w:r>
        <w:t>’</w:t>
      </w:r>
      <w:r w:rsidR="00BE6F79" w:rsidRPr="00D23690">
        <w:t>elles ne pouvaient faire l</w:t>
      </w:r>
      <w:r>
        <w:t>’</w:t>
      </w:r>
      <w:r w:rsidR="00BE6F79" w:rsidRPr="00D23690">
        <w:t>objet d</w:t>
      </w:r>
      <w:r>
        <w:t>’</w:t>
      </w:r>
      <w:r w:rsidR="00BE6F79" w:rsidRPr="00D23690">
        <w:t>aucun recours en annulation.</w:t>
      </w:r>
    </w:p>
    <w:p w:rsidR="00BE6F79" w:rsidRPr="00D23690" w:rsidRDefault="00F72410" w:rsidP="00BE6F79">
      <w:pPr>
        <w:pStyle w:val="ECHRPara"/>
      </w:pPr>
      <w:fldSimple w:instr=" SEQ level0 \*arabic ">
        <w:r w:rsidR="00886CF1">
          <w:rPr>
            <w:noProof/>
          </w:rPr>
          <w:t>38</w:t>
        </w:r>
      </w:fldSimple>
      <w:r w:rsidR="00BE6F79" w:rsidRPr="00D23690">
        <w:t>.  La Cour rappelle que la règle de l</w:t>
      </w:r>
      <w:r>
        <w:t>’</w:t>
      </w:r>
      <w:r w:rsidR="00BE6F79" w:rsidRPr="00D23690">
        <w:t>épuisement des voies de recours internes énoncée à l</w:t>
      </w:r>
      <w:r>
        <w:t>’</w:t>
      </w:r>
      <w:r w:rsidR="00BE6F79" w:rsidRPr="00D23690">
        <w:t>article 35 § 1 de la Convention veut que, avant de saisir un tribunal international, le requérant doit avoir donné à l</w:t>
      </w:r>
      <w:r>
        <w:t>’</w:t>
      </w:r>
      <w:r w:rsidR="00BE6F79" w:rsidRPr="00D23690">
        <w:t>Etat responsable la faculté de remédier aux violations alléguées par des moyens internes, en utilisant les ressources judiciaires offertes par la législation nationale, pourvu qu</w:t>
      </w:r>
      <w:r>
        <w:t>’</w:t>
      </w:r>
      <w:r w:rsidR="00BE6F79" w:rsidRPr="00D23690">
        <w:t>elles se révèlent efficaces et suffisantes. En effet, l</w:t>
      </w:r>
      <w:r>
        <w:t>’</w:t>
      </w:r>
      <w:r w:rsidR="00BE6F79" w:rsidRPr="00D23690">
        <w:t xml:space="preserve">article 35 § </w:t>
      </w:r>
      <w:bookmarkStart w:id="2" w:name="HIT4"/>
      <w:bookmarkEnd w:id="2"/>
      <w:r w:rsidR="00BE6F79" w:rsidRPr="00D23690">
        <w:t>1 de la Convention ne prescrit l</w:t>
      </w:r>
      <w:r>
        <w:t>’</w:t>
      </w:r>
      <w:r w:rsidR="00BE6F79" w:rsidRPr="00D23690">
        <w:t>épuisement que des recours à la fois relatifs aux violations incriminées, disponibles et adéquats. Ces recours doivent exister à un degré suffisant de certitude non seulement en théorie mais aussi en pratique, sans quoi leur manquent l</w:t>
      </w:r>
      <w:r>
        <w:t>’</w:t>
      </w:r>
      <w:r w:rsidR="00BE6F79" w:rsidRPr="00D23690">
        <w:t>effectivité et l</w:t>
      </w:r>
      <w:r>
        <w:t>’</w:t>
      </w:r>
      <w:r w:rsidR="00BE6F79" w:rsidRPr="00D23690">
        <w:t>accessibilité voulues ; il incombe à l</w:t>
      </w:r>
      <w:r>
        <w:t>’</w:t>
      </w:r>
      <w:r w:rsidR="00BE6F79" w:rsidRPr="00D23690">
        <w:t>Etat défendeur de démontrer que ces exigences se trouvent réunies (voir, parmi beaucoup d</w:t>
      </w:r>
      <w:r>
        <w:t>’</w:t>
      </w:r>
      <w:r w:rsidR="00BE6F79" w:rsidRPr="00D23690">
        <w:t xml:space="preserve">autres, </w:t>
      </w:r>
      <w:r w:rsidR="00BE6F79" w:rsidRPr="00D23690">
        <w:rPr>
          <w:i/>
        </w:rPr>
        <w:t>Chkhartishvili c. Grèce</w:t>
      </w:r>
      <w:r w:rsidR="00BE6F79" w:rsidRPr="00D23690">
        <w:t>, n</w:t>
      </w:r>
      <w:r w:rsidR="00BE6F79" w:rsidRPr="00D23690">
        <w:rPr>
          <w:vertAlign w:val="superscript"/>
        </w:rPr>
        <w:t>o </w:t>
      </w:r>
      <w:r w:rsidR="00BE6F79" w:rsidRPr="00D23690">
        <w:t>22910/10, § 47, 2 mai 2013).</w:t>
      </w:r>
    </w:p>
    <w:p w:rsidR="00F72410" w:rsidRDefault="00F72410" w:rsidP="00056B64">
      <w:pPr>
        <w:pStyle w:val="ECHRPara"/>
      </w:pPr>
      <w:fldSimple w:instr=" SEQ level0 \*arabic ">
        <w:r w:rsidR="00886CF1">
          <w:rPr>
            <w:noProof/>
          </w:rPr>
          <w:t>39</w:t>
        </w:r>
      </w:fldSimple>
      <w:r w:rsidR="00056B64" w:rsidRPr="00D23690">
        <w:t>.  Quant aux recours invoqués par le Gouvernement au titre du non-épuisement des voies de recours internes, la Cour considère qu</w:t>
      </w:r>
      <w:r>
        <w:t>’</w:t>
      </w:r>
      <w:r w:rsidR="00056B64" w:rsidRPr="00D23690">
        <w:t>ils sont inefficaces ou non adaptés à la violation alléguée de l</w:t>
      </w:r>
      <w:r>
        <w:t>’</w:t>
      </w:r>
      <w:r w:rsidR="00056B64" w:rsidRPr="00D23690">
        <w:t>article 2 du Protocole n</w:t>
      </w:r>
      <w:r w:rsidR="00D23690" w:rsidRPr="00D23690">
        <w:rPr>
          <w:vertAlign w:val="superscript"/>
        </w:rPr>
        <w:t>o</w:t>
      </w:r>
      <w:r w:rsidR="00056B64" w:rsidRPr="00D23690">
        <w:t> 1 à la Convention : la saisine du médiateur de la République étant donné que ses recommandations ne lient pas les autorités, ainsi que le recours indemnitaire, l</w:t>
      </w:r>
      <w:r>
        <w:t>’</w:t>
      </w:r>
      <w:r w:rsidR="00056B64" w:rsidRPr="00D23690">
        <w:t>action pénale et la saisine du juge administratif étant donné que ces recours ne pouvaient avoir pour effet la reprise immédiate des cours par les troisième et quatrième requérants.</w:t>
      </w:r>
    </w:p>
    <w:p w:rsidR="00056B64" w:rsidRPr="00D23690" w:rsidRDefault="00F72410" w:rsidP="00056B64">
      <w:pPr>
        <w:pStyle w:val="ECHRPara"/>
      </w:pPr>
      <w:fldSimple w:instr=" SEQ level0 \*arabic ">
        <w:r w:rsidR="00886CF1">
          <w:rPr>
            <w:noProof/>
          </w:rPr>
          <w:t>40</w:t>
        </w:r>
      </w:fldSimple>
      <w:r w:rsidR="00056B64" w:rsidRPr="00D23690">
        <w:t>.  Elle observe en revanche que ces derniers ont fait usage de la possibilité offerte par les articles 2 § 3 et 8 de la loi n</w:t>
      </w:r>
      <w:r w:rsidR="00D23690" w:rsidRPr="00D23690">
        <w:rPr>
          <w:vertAlign w:val="superscript"/>
        </w:rPr>
        <w:t>o</w:t>
      </w:r>
      <w:r w:rsidR="00056B64" w:rsidRPr="00D23690">
        <w:t xml:space="preserve"> 1137/1981 et ont introduit par l</w:t>
      </w:r>
      <w:r>
        <w:t>’</w:t>
      </w:r>
      <w:r w:rsidR="00056B64" w:rsidRPr="00D23690">
        <w:t>intermédiaire de leur avocat, le 31 octobre 2011, auprès de toutes les administrations concernées, une requête administrative par laquelle ils contestaient le diagnostic médical établi et sollicitaient la levée des mesures restrictives pesant sur eux. Or cette requête n</w:t>
      </w:r>
      <w:r>
        <w:t>’</w:t>
      </w:r>
      <w:r w:rsidR="00056B64" w:rsidRPr="00D23690">
        <w:t>a donné lieu à aucune réponse formelle de la part des administrations, sauf celle du ministre de la Santé qui a informé les requérants que la commission compétente allait être instituée (paragraphe 25 ci-dessus) et celle du chef de la direction de la Santé publique de la région de la Grèce de l</w:t>
      </w:r>
      <w:r>
        <w:t>’</w:t>
      </w:r>
      <w:r w:rsidR="00056B64" w:rsidRPr="00D23690">
        <w:t>Ouest les informant qu</w:t>
      </w:r>
      <w:r>
        <w:t>’</w:t>
      </w:r>
      <w:r w:rsidR="00056B64" w:rsidRPr="00D23690">
        <w:t>aucune décision formelle n</w:t>
      </w:r>
      <w:r>
        <w:t>’</w:t>
      </w:r>
      <w:r w:rsidR="00056B64" w:rsidRPr="00D23690">
        <w:t xml:space="preserve">interdisait aux troisième ou quatrième requérants de poursuivre leur scolarité et que, par conséquent, </w:t>
      </w:r>
      <w:r w:rsidR="00653A1C" w:rsidRPr="00D23690">
        <w:t xml:space="preserve">le recours introduit par eux sur le fondement des articles 2 § 3 </w:t>
      </w:r>
      <w:r w:rsidR="00C561B1" w:rsidRPr="00D23690">
        <w:t>et 8 de la loi n</w:t>
      </w:r>
      <w:r w:rsidR="00D23690" w:rsidRPr="00D23690">
        <w:rPr>
          <w:vertAlign w:val="superscript"/>
        </w:rPr>
        <w:t>o</w:t>
      </w:r>
      <w:r w:rsidR="00C561B1" w:rsidRPr="00D23690">
        <w:t> </w:t>
      </w:r>
      <w:r w:rsidR="00653A1C" w:rsidRPr="00D23690">
        <w:t>1137/1981 était sans objet en ce qui concernait cet aspect des mesures litigieuses</w:t>
      </w:r>
      <w:r w:rsidR="00056B64" w:rsidRPr="00D23690">
        <w:t>.</w:t>
      </w:r>
    </w:p>
    <w:p w:rsidR="00056B64" w:rsidRPr="00D23690" w:rsidRDefault="00F72410" w:rsidP="00056B64">
      <w:pPr>
        <w:pStyle w:val="ECHRPara"/>
      </w:pPr>
      <w:fldSimple w:instr=" SEQ level0 \*arabic ">
        <w:r w:rsidR="00886CF1">
          <w:rPr>
            <w:noProof/>
          </w:rPr>
          <w:t>41</w:t>
        </w:r>
      </w:fldSimple>
      <w:r w:rsidR="00056B64" w:rsidRPr="00D23690">
        <w:t>.  La Cour considère dès lors que l</w:t>
      </w:r>
      <w:r>
        <w:t>’</w:t>
      </w:r>
      <w:r w:rsidR="00056B64" w:rsidRPr="00D23690">
        <w:t>on ne saurait reprocher aux requérants de ne s</w:t>
      </w:r>
      <w:r>
        <w:t>’</w:t>
      </w:r>
      <w:r w:rsidR="00056B64" w:rsidRPr="00D23690">
        <w:t>être pas conformés aux exigences de la règle de l</w:t>
      </w:r>
      <w:r>
        <w:t>’</w:t>
      </w:r>
      <w:r w:rsidR="00056B64" w:rsidRPr="00D23690">
        <w:t>épuisement des voies de recours internes</w:t>
      </w:r>
      <w:r w:rsidR="003F3A48" w:rsidRPr="00D23690">
        <w:t xml:space="preserve"> en ce qui concerne</w:t>
      </w:r>
      <w:r w:rsidR="0067335A" w:rsidRPr="00D23690">
        <w:t xml:space="preserve"> tant</w:t>
      </w:r>
      <w:r w:rsidR="003F3A48" w:rsidRPr="00D23690">
        <w:t xml:space="preserve"> leur grief tiré de l</w:t>
      </w:r>
      <w:r>
        <w:t>’</w:t>
      </w:r>
      <w:r w:rsidR="003F3A48" w:rsidRPr="00D23690">
        <w:t>article 2 du Protocole n</w:t>
      </w:r>
      <w:r w:rsidR="00D23690" w:rsidRPr="00D23690">
        <w:rPr>
          <w:vertAlign w:val="superscript"/>
        </w:rPr>
        <w:t>o</w:t>
      </w:r>
      <w:r w:rsidR="003F3A48" w:rsidRPr="00D23690">
        <w:t xml:space="preserve"> 1 </w:t>
      </w:r>
      <w:r w:rsidR="0067335A" w:rsidRPr="00D23690">
        <w:t xml:space="preserve">que </w:t>
      </w:r>
      <w:r w:rsidR="00161732" w:rsidRPr="00D23690">
        <w:t>ceux</w:t>
      </w:r>
      <w:r w:rsidR="003F3A48" w:rsidRPr="00D23690">
        <w:t xml:space="preserve"> relatifs aux articles 5 e</w:t>
      </w:r>
      <w:r w:rsidR="0067335A" w:rsidRPr="00D23690">
        <w:t>t 8 de la Convention</w:t>
      </w:r>
      <w:r w:rsidR="003F3A48" w:rsidRPr="00D23690">
        <w:t>.</w:t>
      </w:r>
    </w:p>
    <w:p w:rsidR="00F42A7C" w:rsidRPr="00D23690" w:rsidRDefault="00F72410" w:rsidP="00F42A7C">
      <w:pPr>
        <w:pStyle w:val="ECHRPara"/>
      </w:pPr>
      <w:fldSimple w:instr=" SEQ level0 \*arabic ">
        <w:r w:rsidR="00886CF1">
          <w:rPr>
            <w:noProof/>
          </w:rPr>
          <w:t>42</w:t>
        </w:r>
      </w:fldSimple>
      <w:r w:rsidR="00CD109B" w:rsidRPr="00D23690">
        <w:t>.  </w:t>
      </w:r>
      <w:r w:rsidR="003F3A48" w:rsidRPr="00D23690">
        <w:t>L</w:t>
      </w:r>
      <w:r w:rsidR="00CD109B" w:rsidRPr="00D23690">
        <w:t xml:space="preserve">a Cour rappelle </w:t>
      </w:r>
      <w:r w:rsidR="00F42A7C" w:rsidRPr="00D23690">
        <w:t>que le délai de six mois prévu par l</w:t>
      </w:r>
      <w:r>
        <w:t>’</w:t>
      </w:r>
      <w:r w:rsidR="00F42A7C" w:rsidRPr="00D23690">
        <w:t>article 35 § 1 de la Convention vise à assurer la sécurité juridique en garantissant que les affaires qui soulèvent des questions au regard de la Convention puissent être examinées dans un délai raisonnable et que les décisions passées ne soient pas indéfiniment susceptibles d</w:t>
      </w:r>
      <w:r>
        <w:t>’</w:t>
      </w:r>
      <w:r w:rsidR="00F42A7C" w:rsidRPr="00D23690">
        <w:t>être remises en cause. Cette règle marque la limite temporelle du contrôle effectué par les organes de la Convention et indique aux particuliers comme aux autorités la période au-delà de laquelle ce contrôle ne peut plus s</w:t>
      </w:r>
      <w:r>
        <w:t>’</w:t>
      </w:r>
      <w:r w:rsidR="00F42A7C" w:rsidRPr="00D23690">
        <w:t xml:space="preserve">exercer. </w:t>
      </w:r>
      <w:r w:rsidR="00CD109B" w:rsidRPr="00D23690">
        <w:t>La Cour n</w:t>
      </w:r>
      <w:r>
        <w:t>’</w:t>
      </w:r>
      <w:r w:rsidR="00CD109B" w:rsidRPr="00D23690">
        <w:t>a donc pas la possibilité de ne pas appliquer la règle de six mois au seul motif qu</w:t>
      </w:r>
      <w:r>
        <w:t>’</w:t>
      </w:r>
      <w:r w:rsidR="00CD109B" w:rsidRPr="00D23690">
        <w:t>un Gouvernement n</w:t>
      </w:r>
      <w:r>
        <w:t>’</w:t>
      </w:r>
      <w:r w:rsidR="00CD109B" w:rsidRPr="00D23690">
        <w:t>a pas formulé d</w:t>
      </w:r>
      <w:r>
        <w:t>’</w:t>
      </w:r>
      <w:r w:rsidR="00CD109B" w:rsidRPr="00D23690">
        <w:t>exception préliminaire fondée sur elle (</w:t>
      </w:r>
      <w:r w:rsidR="00CD109B" w:rsidRPr="00D23690">
        <w:rPr>
          <w:i/>
        </w:rPr>
        <w:t>Walker c. Royaume-Uni</w:t>
      </w:r>
      <w:r w:rsidR="00CD109B" w:rsidRPr="00D23690">
        <w:t xml:space="preserve"> (déc.), n</w:t>
      </w:r>
      <w:r w:rsidR="00CD109B" w:rsidRPr="00D23690">
        <w:rPr>
          <w:vertAlign w:val="superscript"/>
        </w:rPr>
        <w:t>o</w:t>
      </w:r>
      <w:r w:rsidR="00CD109B" w:rsidRPr="00D23690">
        <w:t xml:space="preserve"> 34979/97, CEDH 2000-I). </w:t>
      </w:r>
      <w:r w:rsidR="00F42A7C" w:rsidRPr="00D23690">
        <w:t>En règle générale, le délai de six mois commence à courir à la date de la décision définitive intervenue dans le cadre du processus d</w:t>
      </w:r>
      <w:r>
        <w:t>’</w:t>
      </w:r>
      <w:r w:rsidR="00F42A7C" w:rsidRPr="00D23690">
        <w:t>épuisement des voies de recours internes. Toutefois, lorsqu</w:t>
      </w:r>
      <w:r>
        <w:t>’</w:t>
      </w:r>
      <w:r w:rsidR="00F42A7C" w:rsidRPr="00D23690">
        <w:t>il est clair d</w:t>
      </w:r>
      <w:r>
        <w:t>’</w:t>
      </w:r>
      <w:r w:rsidR="00F42A7C" w:rsidRPr="00D23690">
        <w:t>emblée que le requérant ne dispose d</w:t>
      </w:r>
      <w:r>
        <w:t>’</w:t>
      </w:r>
      <w:r w:rsidR="00F42A7C" w:rsidRPr="00D23690">
        <w:t>aucun recours effectif, le délai de six mois prend naissance à la date des actes ou mesures dénoncés ou à la date à laquelle l</w:t>
      </w:r>
      <w:r>
        <w:t>’</w:t>
      </w:r>
      <w:r w:rsidR="00F42A7C" w:rsidRPr="00D23690">
        <w:t>intéressé en prend connaissance ou en ressent les effets ou le préjudice (</w:t>
      </w:r>
      <w:r w:rsidR="00F42A7C" w:rsidRPr="00D23690">
        <w:rPr>
          <w:i/>
        </w:rPr>
        <w:t>Varnava et autres c. Turquie</w:t>
      </w:r>
      <w:r w:rsidR="00F42A7C" w:rsidRPr="00D23690">
        <w:t xml:space="preserve"> [GC], n</w:t>
      </w:r>
      <w:r w:rsidR="00F42A7C" w:rsidRPr="00D23690">
        <w:rPr>
          <w:vertAlign w:val="superscript"/>
        </w:rPr>
        <w:t>os </w:t>
      </w:r>
      <w:r w:rsidR="00F42A7C" w:rsidRPr="00D23690">
        <w:t>16064/90, 16065/90, 16066/90, 16068/90, 16069/90, 16070/90, 16071/90, 16072/90 et 16073/90, §§ 156-157, 18 septembre 2009).</w:t>
      </w:r>
    </w:p>
    <w:p w:rsidR="00F72410" w:rsidRDefault="00F72410" w:rsidP="00F42A7C">
      <w:pPr>
        <w:pStyle w:val="ECHRPara"/>
      </w:pPr>
      <w:fldSimple w:instr=" SEQ level0 \*arabic ">
        <w:r w:rsidR="00886CF1">
          <w:rPr>
            <w:noProof/>
          </w:rPr>
          <w:t>43</w:t>
        </w:r>
      </w:fldSimple>
      <w:r w:rsidR="00F42A7C" w:rsidRPr="00D23690">
        <w:t>.  En l</w:t>
      </w:r>
      <w:r>
        <w:t>’</w:t>
      </w:r>
      <w:r w:rsidR="00F42A7C" w:rsidRPr="00D23690">
        <w:t>occurrence, en ce qui concerne le</w:t>
      </w:r>
      <w:r w:rsidR="00056B64" w:rsidRPr="00D23690">
        <w:t>s</w:t>
      </w:r>
      <w:r w:rsidR="00F42A7C" w:rsidRPr="00D23690">
        <w:t xml:space="preserve"> grief</w:t>
      </w:r>
      <w:r w:rsidR="00056B64" w:rsidRPr="00D23690">
        <w:t>s</w:t>
      </w:r>
      <w:r w:rsidR="00F42A7C" w:rsidRPr="00D23690">
        <w:t xml:space="preserve"> relatif</w:t>
      </w:r>
      <w:r w:rsidR="00056B64" w:rsidRPr="00D23690">
        <w:t xml:space="preserve">s aux </w:t>
      </w:r>
      <w:r w:rsidR="00F42A7C" w:rsidRPr="00D23690">
        <w:t>article</w:t>
      </w:r>
      <w:r w:rsidR="00056B64" w:rsidRPr="00D23690">
        <w:t>s</w:t>
      </w:r>
      <w:r w:rsidR="00F42A7C" w:rsidRPr="00D23690">
        <w:t xml:space="preserve"> 5</w:t>
      </w:r>
      <w:r w:rsidR="00056B64" w:rsidRPr="00D23690">
        <w:t xml:space="preserve"> et 8</w:t>
      </w:r>
      <w:r w:rsidR="00F42A7C" w:rsidRPr="00D23690">
        <w:t xml:space="preserve"> de la Convention</w:t>
      </w:r>
      <w:r w:rsidR="00AA21ED" w:rsidRPr="00D23690">
        <w:t xml:space="preserve"> concernant leur hospitalisation et leur traitement</w:t>
      </w:r>
      <w:r w:rsidR="00F42A7C" w:rsidRPr="00D23690">
        <w:t>, la Cour note que les requérants ont quitté l</w:t>
      </w:r>
      <w:r>
        <w:t>’</w:t>
      </w:r>
      <w:r w:rsidR="00F42A7C" w:rsidRPr="00D23690">
        <w:t>hôpital de Rion, dans lequel ils allèguent avoir été internés, le 2 juin 2011, et que leur traitement contre la maladie initialement diagnostiquée a pris fin le 30 juin 2011 lorsque le chef de la clinique dermatologique de l</w:t>
      </w:r>
      <w:r>
        <w:t>’</w:t>
      </w:r>
      <w:r w:rsidR="00F42A7C" w:rsidRPr="00D23690">
        <w:t>hôpital « Aghia Varvara » leur a recommandé de l</w:t>
      </w:r>
      <w:r>
        <w:t>’</w:t>
      </w:r>
      <w:r w:rsidR="00F42A7C" w:rsidRPr="00D23690">
        <w:t>interrompre. En outre, elle constate que les requérants l</w:t>
      </w:r>
      <w:r>
        <w:t>’</w:t>
      </w:r>
      <w:r w:rsidR="00F42A7C" w:rsidRPr="00D23690">
        <w:t>ont saisie le 7 juin 2012, soit en dehors du délai de six mois prescrit par l</w:t>
      </w:r>
      <w:r>
        <w:t>’</w:t>
      </w:r>
      <w:r w:rsidR="00F42A7C" w:rsidRPr="00D23690">
        <w:t>article 35 § 1 de la Convention. Elle estime qu</w:t>
      </w:r>
      <w:r>
        <w:t>’</w:t>
      </w:r>
      <w:r w:rsidR="00F42A7C" w:rsidRPr="00D23690">
        <w:t xml:space="preserve">il en va de même du </w:t>
      </w:r>
      <w:r w:rsidR="008609C7" w:rsidRPr="00D23690">
        <w:t xml:space="preserve">deuxième </w:t>
      </w:r>
      <w:r w:rsidR="00F42A7C" w:rsidRPr="00D23690">
        <w:t>grief relatif à l</w:t>
      </w:r>
      <w:r>
        <w:t>’</w:t>
      </w:r>
      <w:r w:rsidR="00F42A7C" w:rsidRPr="00D23690">
        <w:t>article 8 de la Convention concernant la divulgation d</w:t>
      </w:r>
      <w:r>
        <w:t>’</w:t>
      </w:r>
      <w:r w:rsidR="00F42A7C" w:rsidRPr="00D23690">
        <w:t>informations aux médias puisque la parution des articles de presse révélant au grand public le cas des requérants ainsi que la diffusion du reportage litigieux sur la chaîne MEGA remontent au 20 mai 2011.</w:t>
      </w:r>
    </w:p>
    <w:p w:rsidR="00F72410" w:rsidRDefault="00F72410" w:rsidP="00F42A7C">
      <w:pPr>
        <w:pStyle w:val="ECHRPara"/>
      </w:pPr>
      <w:fldSimple w:instr=" SEQ level0 \*arabic ">
        <w:r w:rsidR="00886CF1">
          <w:rPr>
            <w:noProof/>
          </w:rPr>
          <w:t>44</w:t>
        </w:r>
      </w:fldSimple>
      <w:r w:rsidR="00F42A7C" w:rsidRPr="00D23690">
        <w:t>.  Il s</w:t>
      </w:r>
      <w:r>
        <w:t>’</w:t>
      </w:r>
      <w:r w:rsidR="00F42A7C" w:rsidRPr="00D23690">
        <w:t>ensuit que la partie de la requête relative aux griefs tirés des arti</w:t>
      </w:r>
      <w:r w:rsidR="008609C7" w:rsidRPr="00D23690">
        <w:t>cles 5 et 8 de la Convention, ainsi que du grief tiré</w:t>
      </w:r>
      <w:r w:rsidR="00F42A7C" w:rsidRPr="00D23690">
        <w:t xml:space="preserve"> de l</w:t>
      </w:r>
      <w:r>
        <w:t>’</w:t>
      </w:r>
      <w:r w:rsidR="00F42A7C" w:rsidRPr="00D23690">
        <w:t>article 13 de la Convention en combinaison avec ces articles, doit être rejetée pour non-respect du délai de six mois.</w:t>
      </w:r>
    </w:p>
    <w:p w:rsidR="00F42A7C" w:rsidRPr="00D23690" w:rsidRDefault="00F72410" w:rsidP="00F42A7C">
      <w:pPr>
        <w:pStyle w:val="ECHRPara"/>
      </w:pPr>
      <w:fldSimple w:instr=" SEQ level0 \*arabic ">
        <w:r w:rsidR="00886CF1">
          <w:rPr>
            <w:noProof/>
          </w:rPr>
          <w:t>45</w:t>
        </w:r>
      </w:fldSimple>
      <w:r w:rsidR="00F42A7C" w:rsidRPr="00D23690">
        <w:t>.  En revanche, la Cour note que les troisième et quatrième requérants sont retournés à l</w:t>
      </w:r>
      <w:r>
        <w:t>’</w:t>
      </w:r>
      <w:r w:rsidR="00F42A7C" w:rsidRPr="00D23690">
        <w:t>école le 12 décembre 2011, soit moins de six mois avant sa saisine par les plaignants. Dans ces conditions, elle estime que cette partie de la requête</w:t>
      </w:r>
      <w:r w:rsidR="003659C9" w:rsidRPr="00D23690">
        <w:t xml:space="preserve"> concernant la violation alléguée de l</w:t>
      </w:r>
      <w:r>
        <w:t>’</w:t>
      </w:r>
      <w:r w:rsidR="003659C9" w:rsidRPr="00D23690">
        <w:t>article 2 du Protocole n</w:t>
      </w:r>
      <w:r w:rsidR="00D23690" w:rsidRPr="00D23690">
        <w:rPr>
          <w:vertAlign w:val="superscript"/>
        </w:rPr>
        <w:t>o</w:t>
      </w:r>
      <w:r w:rsidR="003659C9" w:rsidRPr="00D23690">
        <w:t xml:space="preserve"> 1</w:t>
      </w:r>
      <w:r w:rsidR="00F42A7C" w:rsidRPr="00D23690">
        <w:t xml:space="preserve"> </w:t>
      </w:r>
      <w:r w:rsidR="008609C7" w:rsidRPr="00D23690">
        <w:t>a été introduite dans le</w:t>
      </w:r>
      <w:r w:rsidR="00F42A7C" w:rsidRPr="00D23690">
        <w:t xml:space="preserve"> délai de six mois</w:t>
      </w:r>
      <w:r w:rsidR="008609C7" w:rsidRPr="00D23690">
        <w:t xml:space="preserve"> prévu à l</w:t>
      </w:r>
      <w:r>
        <w:t>’</w:t>
      </w:r>
      <w:r w:rsidR="008609C7" w:rsidRPr="00D23690">
        <w:t>article 35 § 1 de la Convention</w:t>
      </w:r>
      <w:r w:rsidR="00F42A7C" w:rsidRPr="00D23690">
        <w:t>.</w:t>
      </w:r>
    </w:p>
    <w:p w:rsidR="00BE6F79" w:rsidRPr="00D23690" w:rsidRDefault="00F72410" w:rsidP="00BE6F79">
      <w:pPr>
        <w:pStyle w:val="ECHRPara"/>
      </w:pPr>
      <w:fldSimple w:instr=" SEQ level0 \*arabic ">
        <w:r w:rsidR="00886CF1">
          <w:rPr>
            <w:noProof/>
          </w:rPr>
          <w:t>46</w:t>
        </w:r>
      </w:fldSimple>
      <w:r w:rsidR="00A93956" w:rsidRPr="00D23690">
        <w:t>.  </w:t>
      </w:r>
      <w:r w:rsidR="00BE6F79" w:rsidRPr="00D23690">
        <w:t>Constatant que ce grief n</w:t>
      </w:r>
      <w:r>
        <w:t>’</w:t>
      </w:r>
      <w:r w:rsidR="00BE6F79" w:rsidRPr="00D23690">
        <w:t>est pas manifestement mal fondé au sens de l</w:t>
      </w:r>
      <w:r>
        <w:t>’</w:t>
      </w:r>
      <w:r w:rsidR="00BE6F79" w:rsidRPr="00D23690">
        <w:t>article 35 § 3 a) de la Convention et qu</w:t>
      </w:r>
      <w:r>
        <w:t>’</w:t>
      </w:r>
      <w:r w:rsidR="00BE6F79" w:rsidRPr="00D23690">
        <w:t>il ne se heurte à aucun autre motif d</w:t>
      </w:r>
      <w:r>
        <w:t>’</w:t>
      </w:r>
      <w:r w:rsidR="00BE6F79" w:rsidRPr="00D23690">
        <w:t>irrecevabilité, la Cour le déclare recevable.</w:t>
      </w:r>
    </w:p>
    <w:p w:rsidR="00557EDE" w:rsidRPr="00D23690" w:rsidRDefault="00AA21ED" w:rsidP="00886CF1">
      <w:pPr>
        <w:pStyle w:val="ECHRHeading1"/>
        <w:tabs>
          <w:tab w:val="clear" w:pos="357"/>
        </w:tabs>
        <w:ind w:left="426" w:hanging="426"/>
      </w:pPr>
      <w:r w:rsidRPr="00D23690">
        <w:t>I</w:t>
      </w:r>
      <w:r w:rsidR="00C23112" w:rsidRPr="00D23690">
        <w:t>I</w:t>
      </w:r>
      <w:r w:rsidR="00557EDE" w:rsidRPr="00D23690">
        <w:t xml:space="preserve">I.  SUR </w:t>
      </w:r>
      <w:r w:rsidR="00A015C5" w:rsidRPr="00D23690">
        <w:t>LA VIOLATION ALLÉGUÉE DE L</w:t>
      </w:r>
      <w:r w:rsidR="00F72410">
        <w:t>’</w:t>
      </w:r>
      <w:r w:rsidR="00A015C5" w:rsidRPr="00D23690">
        <w:t>ARTICLE</w:t>
      </w:r>
      <w:r w:rsidR="0051372F" w:rsidRPr="00D23690">
        <w:t> </w:t>
      </w:r>
      <w:r w:rsidR="00A015C5" w:rsidRPr="00D23690">
        <w:t>2 DU PROTOCOLE N</w:t>
      </w:r>
      <w:r w:rsidR="00D23690" w:rsidRPr="00D23690">
        <w:rPr>
          <w:vertAlign w:val="superscript"/>
        </w:rPr>
        <w:t>o</w:t>
      </w:r>
      <w:r w:rsidR="0051372F" w:rsidRPr="00D23690">
        <w:t> </w:t>
      </w:r>
      <w:r w:rsidR="00A015C5" w:rsidRPr="00D23690">
        <w:t>1</w:t>
      </w:r>
      <w:r w:rsidR="00425AF0" w:rsidRPr="00D23690">
        <w:t xml:space="preserve"> </w:t>
      </w:r>
      <w:r w:rsidR="00425AF0" w:rsidRPr="00D23690">
        <w:rPr>
          <w:rFonts w:cstheme="majorHAnsi"/>
        </w:rPr>
        <w:t>À</w:t>
      </w:r>
      <w:r w:rsidR="00425AF0" w:rsidRPr="00D23690">
        <w:t xml:space="preserve"> LA CONVENTION</w:t>
      </w:r>
      <w:r w:rsidR="009C766F" w:rsidRPr="00D23690">
        <w:t>, PRIS ISOL</w:t>
      </w:r>
      <w:r w:rsidR="002032C4" w:rsidRPr="00D23690">
        <w:t>É</w:t>
      </w:r>
      <w:r w:rsidR="009C766F" w:rsidRPr="00D23690">
        <w:t>MENT ET COMBIN</w:t>
      </w:r>
      <w:r w:rsidR="002032C4" w:rsidRPr="00D23690">
        <w:t>É</w:t>
      </w:r>
      <w:r w:rsidR="009C766F" w:rsidRPr="00D23690">
        <w:t xml:space="preserve"> AVEC L</w:t>
      </w:r>
      <w:r w:rsidR="00F72410">
        <w:t>’</w:t>
      </w:r>
      <w:r w:rsidR="009C766F" w:rsidRPr="00D23690">
        <w:t>ARTICLE 13 DE LA CONVENTION</w:t>
      </w:r>
    </w:p>
    <w:p w:rsidR="00A015C5" w:rsidRPr="00D23690" w:rsidRDefault="00F72410" w:rsidP="00557EDE">
      <w:pPr>
        <w:pStyle w:val="ECHRPara"/>
      </w:pPr>
      <w:fldSimple w:instr=" SEQ level0 \*arabic ">
        <w:r w:rsidR="00886CF1">
          <w:rPr>
            <w:noProof/>
          </w:rPr>
          <w:t>47</w:t>
        </w:r>
      </w:fldSimple>
      <w:r w:rsidR="0036772B" w:rsidRPr="00D23690">
        <w:t>.  </w:t>
      </w:r>
      <w:r w:rsidR="00BD6EF5" w:rsidRPr="00D23690">
        <w:t>Les</w:t>
      </w:r>
      <w:r w:rsidR="0036772B" w:rsidRPr="00D23690">
        <w:t xml:space="preserve"> </w:t>
      </w:r>
      <w:r w:rsidR="00BD6EF5" w:rsidRPr="00D23690">
        <w:t xml:space="preserve">requérants </w:t>
      </w:r>
      <w:r w:rsidR="0036772B" w:rsidRPr="00D23690">
        <w:t>allèguent que l</w:t>
      </w:r>
      <w:r>
        <w:t>’</w:t>
      </w:r>
      <w:r w:rsidR="0036772B" w:rsidRPr="00D23690">
        <w:t xml:space="preserve">exclusion </w:t>
      </w:r>
      <w:r w:rsidR="00425AF0" w:rsidRPr="00D23690">
        <w:t>des troisième et quatrième requérants</w:t>
      </w:r>
      <w:r w:rsidR="00447C55" w:rsidRPr="00D23690">
        <w:t xml:space="preserve"> de l</w:t>
      </w:r>
      <w:r>
        <w:t>’</w:t>
      </w:r>
      <w:r w:rsidR="00447C55" w:rsidRPr="00D23690">
        <w:t>école</w:t>
      </w:r>
      <w:r w:rsidR="00156680" w:rsidRPr="00D23690">
        <w:t>,</w:t>
      </w:r>
      <w:r w:rsidR="00425AF0" w:rsidRPr="00D23690">
        <w:t xml:space="preserve"> </w:t>
      </w:r>
      <w:r w:rsidR="00447C55" w:rsidRPr="00D23690">
        <w:t>d</w:t>
      </w:r>
      <w:r>
        <w:t>’</w:t>
      </w:r>
      <w:r w:rsidR="00447C55" w:rsidRPr="00D23690">
        <w:t xml:space="preserve">après eux </w:t>
      </w:r>
      <w:r w:rsidR="0036772B" w:rsidRPr="00D23690">
        <w:t>pour les besoins d</w:t>
      </w:r>
      <w:r>
        <w:t>’</w:t>
      </w:r>
      <w:r w:rsidR="0036772B" w:rsidRPr="00D23690">
        <w:t>un traitement fondé sur une erreur de diagnostic</w:t>
      </w:r>
      <w:r w:rsidR="00156680" w:rsidRPr="00D23690">
        <w:t>,</w:t>
      </w:r>
      <w:r w:rsidR="0036772B" w:rsidRPr="00D23690">
        <w:t xml:space="preserve"> a porté atteinte à leur droit à l</w:t>
      </w:r>
      <w:r>
        <w:t>’</w:t>
      </w:r>
      <w:r w:rsidR="0036772B" w:rsidRPr="00D23690">
        <w:t>instruction garanti par l</w:t>
      </w:r>
      <w:r>
        <w:t>’</w:t>
      </w:r>
      <w:r w:rsidR="0036772B" w:rsidRPr="00D23690">
        <w:t>article 2 du Protocole n</w:t>
      </w:r>
      <w:r w:rsidR="00D23690" w:rsidRPr="00D23690">
        <w:rPr>
          <w:vertAlign w:val="superscript"/>
        </w:rPr>
        <w:t>o</w:t>
      </w:r>
      <w:r w:rsidR="0036772B" w:rsidRPr="00D23690">
        <w:t xml:space="preserve"> 1</w:t>
      </w:r>
      <w:r w:rsidR="00156680" w:rsidRPr="00D23690">
        <w:t xml:space="preserve"> à la Convention</w:t>
      </w:r>
      <w:r w:rsidR="009C766F" w:rsidRPr="00D23690">
        <w:t xml:space="preserve">. Ils se plaignent aussi </w:t>
      </w:r>
      <w:r w:rsidR="00156680" w:rsidRPr="00D23690">
        <w:t>de ne pas avoir disposé</w:t>
      </w:r>
      <w:r w:rsidR="009C766F" w:rsidRPr="00D23690">
        <w:t>, comme l</w:t>
      </w:r>
      <w:r>
        <w:t>’</w:t>
      </w:r>
      <w:r w:rsidR="009C766F" w:rsidRPr="00D23690">
        <w:t>exige l</w:t>
      </w:r>
      <w:r>
        <w:t>’</w:t>
      </w:r>
      <w:r w:rsidR="009C766F" w:rsidRPr="00D23690">
        <w:t>article 13 de la Convention, d</w:t>
      </w:r>
      <w:r>
        <w:t>’</w:t>
      </w:r>
      <w:r w:rsidR="009C766F" w:rsidRPr="00D23690">
        <w:t>un recours interne effectif au travers duquel ils auraient pu formuler leur grief de méconnaissance de l</w:t>
      </w:r>
      <w:r>
        <w:t>’</w:t>
      </w:r>
      <w:r w:rsidR="009C766F" w:rsidRPr="00D23690">
        <w:t>article précité</w:t>
      </w:r>
      <w:r w:rsidR="00156680" w:rsidRPr="00D23690">
        <w:t>.</w:t>
      </w:r>
      <w:r w:rsidR="009C766F" w:rsidRPr="00D23690">
        <w:t xml:space="preserve"> Ces articles</w:t>
      </w:r>
      <w:r w:rsidR="0036772B" w:rsidRPr="00D23690">
        <w:t xml:space="preserve"> dispose</w:t>
      </w:r>
      <w:r w:rsidR="009C766F" w:rsidRPr="00D23690">
        <w:t>nt</w:t>
      </w:r>
      <w:r w:rsidR="0036772B" w:rsidRPr="00D23690">
        <w:t> :</w:t>
      </w:r>
    </w:p>
    <w:p w:rsidR="009C766F" w:rsidRPr="00D23690" w:rsidRDefault="009C766F" w:rsidP="00D23690">
      <w:pPr>
        <w:pStyle w:val="ECHRTitleCentre3"/>
      </w:pPr>
      <w:r w:rsidRPr="00D23690">
        <w:t>Article 2 du Protocole n</w:t>
      </w:r>
      <w:r w:rsidR="00D23690" w:rsidRPr="00D23690">
        <w:rPr>
          <w:vertAlign w:val="superscript"/>
        </w:rPr>
        <w:t>o</w:t>
      </w:r>
      <w:r w:rsidRPr="00D23690">
        <w:t xml:space="preserve"> 1</w:t>
      </w:r>
      <w:r w:rsidR="00156680" w:rsidRPr="00D23690">
        <w:t xml:space="preserve"> à la Convention</w:t>
      </w:r>
    </w:p>
    <w:p w:rsidR="00A015C5" w:rsidRPr="00D23690" w:rsidRDefault="0036772B" w:rsidP="0036772B">
      <w:pPr>
        <w:pStyle w:val="ECHRParaQuote"/>
      </w:pPr>
      <w:r w:rsidRPr="00D23690">
        <w:t>« Nul ne peut se voir refuser le droit à l</w:t>
      </w:r>
      <w:r w:rsidR="00F72410">
        <w:t>’</w:t>
      </w:r>
      <w:r w:rsidRPr="00D23690">
        <w:t>instruction. L</w:t>
      </w:r>
      <w:r w:rsidR="00F72410">
        <w:t>’</w:t>
      </w:r>
      <w:r w:rsidRPr="00D23690">
        <w:t>Etat, dans l</w:t>
      </w:r>
      <w:r w:rsidR="00F72410">
        <w:t>’</w:t>
      </w:r>
      <w:r w:rsidRPr="00D23690">
        <w:t>exercice des fonctions qu</w:t>
      </w:r>
      <w:r w:rsidR="00F72410">
        <w:t>’</w:t>
      </w:r>
      <w:r w:rsidRPr="00D23690">
        <w:t>il assumera dans le domaine de l</w:t>
      </w:r>
      <w:r w:rsidR="00F72410">
        <w:t>’</w:t>
      </w:r>
      <w:r w:rsidRPr="00D23690">
        <w:t>éducation et de l</w:t>
      </w:r>
      <w:r w:rsidR="00F72410">
        <w:t>’</w:t>
      </w:r>
      <w:r w:rsidRPr="00D23690">
        <w:t>enseignement, respectera le droit des parents d</w:t>
      </w:r>
      <w:r w:rsidR="00F72410">
        <w:t>’</w:t>
      </w:r>
      <w:r w:rsidRPr="00D23690">
        <w:t>assurer cette éducation et cet enseignement conformément à leurs convictions religieuses et philosophiques. »</w:t>
      </w:r>
    </w:p>
    <w:p w:rsidR="009C766F" w:rsidRPr="00D23690" w:rsidRDefault="009C766F" w:rsidP="00D23690">
      <w:pPr>
        <w:pStyle w:val="ECHRTitleCentre3"/>
      </w:pPr>
      <w:r w:rsidRPr="00D23690">
        <w:t>Article 13 de la Convention</w:t>
      </w:r>
    </w:p>
    <w:p w:rsidR="009C766F" w:rsidRPr="00D23690" w:rsidRDefault="009C766F" w:rsidP="0036772B">
      <w:pPr>
        <w:pStyle w:val="ECHRParaQuote"/>
      </w:pPr>
      <w:r w:rsidRPr="00D23690">
        <w:t>« Toute personne dont les droits et libertés reconnus dans la (...) Convention ont été violés a droit à l</w:t>
      </w:r>
      <w:r w:rsidR="00F72410">
        <w:t>’</w:t>
      </w:r>
      <w:r w:rsidRPr="00D23690">
        <w:t>octroi d</w:t>
      </w:r>
      <w:r w:rsidR="00F72410">
        <w:t>’</w:t>
      </w:r>
      <w:r w:rsidRPr="00D23690">
        <w:t>un recours effectif devant une instance nationale, alors même que la violation aurait été commise par des personnes agissant dans l</w:t>
      </w:r>
      <w:r w:rsidR="00F72410">
        <w:t>’</w:t>
      </w:r>
      <w:r w:rsidRPr="00D23690">
        <w:t>exercice de leurs fonctions officielles. »</w:t>
      </w:r>
    </w:p>
    <w:p w:rsidR="00076451" w:rsidRPr="00D23690" w:rsidRDefault="00F72410" w:rsidP="00076451">
      <w:pPr>
        <w:pStyle w:val="ECHRPara"/>
      </w:pPr>
      <w:fldSimple w:instr=" SEQ level0 \*arabic ">
        <w:r w:rsidR="00886CF1">
          <w:rPr>
            <w:noProof/>
          </w:rPr>
          <w:t>48</w:t>
        </w:r>
      </w:fldSimple>
      <w:r w:rsidR="001C6261" w:rsidRPr="00D23690">
        <w:t xml:space="preserve">.  Le Gouvernement </w:t>
      </w:r>
      <w:r w:rsidR="00E5029D" w:rsidRPr="00D23690">
        <w:t>soutient que l</w:t>
      </w:r>
      <w:r>
        <w:t>’</w:t>
      </w:r>
      <w:r w:rsidR="00E5029D" w:rsidRPr="00D23690">
        <w:t>exclusion temporaire des troisième et quatrième requérants de l</w:t>
      </w:r>
      <w:r>
        <w:t>’</w:t>
      </w:r>
      <w:r w:rsidR="00E5029D" w:rsidRPr="00D23690">
        <w:t>école était légale et nécessaire, en application des dispositions de l</w:t>
      </w:r>
      <w:r>
        <w:t>’</w:t>
      </w:r>
      <w:r w:rsidR="00E5029D" w:rsidRPr="00D23690">
        <w:t>article 20 de la loi n</w:t>
      </w:r>
      <w:r w:rsidR="00D23690" w:rsidRPr="00D23690">
        <w:rPr>
          <w:vertAlign w:val="superscript"/>
        </w:rPr>
        <w:t>o</w:t>
      </w:r>
      <w:r w:rsidR="00E5029D" w:rsidRPr="00D23690">
        <w:t xml:space="preserve"> 3172/2003 et des articles 3 et 8 de la loi n</w:t>
      </w:r>
      <w:r w:rsidR="00D23690" w:rsidRPr="00D23690">
        <w:rPr>
          <w:vertAlign w:val="superscript"/>
        </w:rPr>
        <w:t>o</w:t>
      </w:r>
      <w:r w:rsidR="00E5029D" w:rsidRPr="00D23690">
        <w:t xml:space="preserve"> 1371/1981, afin de protéger la santé de leurs camarades et du personnel enseignant. </w:t>
      </w:r>
      <w:r w:rsidR="0081496C" w:rsidRPr="00D23690">
        <w:t xml:space="preserve">Il </w:t>
      </w:r>
      <w:r w:rsidR="00E33627" w:rsidRPr="00D23690">
        <w:t>affirme</w:t>
      </w:r>
      <w:r w:rsidR="0081496C" w:rsidRPr="00D23690">
        <w:t xml:space="preserve"> également que</w:t>
      </w:r>
      <w:r w:rsidR="00E5029D" w:rsidRPr="00D23690">
        <w:t xml:space="preserve"> la deuxième requérante a rejeté l</w:t>
      </w:r>
      <w:r>
        <w:t>’</w:t>
      </w:r>
      <w:r w:rsidR="00E5029D" w:rsidRPr="00D23690">
        <w:t xml:space="preserve">offre </w:t>
      </w:r>
      <w:r w:rsidR="0076147C" w:rsidRPr="00D23690">
        <w:t>du directeur de l</w:t>
      </w:r>
      <w:r>
        <w:t>’</w:t>
      </w:r>
      <w:r w:rsidR="0076147C" w:rsidRPr="00D23690">
        <w:t xml:space="preserve">école de désigner un instituteur pour donner des cours à domicile aux </w:t>
      </w:r>
      <w:r w:rsidR="0081496C" w:rsidRPr="00D23690">
        <w:t>deux enfants exclus</w:t>
      </w:r>
      <w:r w:rsidR="0076147C" w:rsidRPr="00D23690">
        <w:t>.</w:t>
      </w:r>
    </w:p>
    <w:p w:rsidR="001C6261" w:rsidRPr="00D23690" w:rsidRDefault="00F72410" w:rsidP="00076451">
      <w:pPr>
        <w:pStyle w:val="ECHRPara"/>
      </w:pPr>
      <w:fldSimple w:instr=" SEQ level0 \*arabic ">
        <w:r w:rsidR="00886CF1">
          <w:rPr>
            <w:noProof/>
          </w:rPr>
          <w:t>49</w:t>
        </w:r>
      </w:fldSimple>
      <w:r w:rsidR="003126C7" w:rsidRPr="00D23690">
        <w:t xml:space="preserve">.  Les </w:t>
      </w:r>
      <w:r w:rsidR="001D5402" w:rsidRPr="00D23690">
        <w:t>plaignants</w:t>
      </w:r>
      <w:r w:rsidR="003126C7" w:rsidRPr="00D23690">
        <w:t xml:space="preserve"> </w:t>
      </w:r>
      <w:r w:rsidR="00226105" w:rsidRPr="00D23690">
        <w:t>soutiennent que l</w:t>
      </w:r>
      <w:r>
        <w:t>’</w:t>
      </w:r>
      <w:r w:rsidR="00226105" w:rsidRPr="00D23690">
        <w:t xml:space="preserve">exclusion </w:t>
      </w:r>
      <w:r w:rsidR="0081496C" w:rsidRPr="00D23690">
        <w:rPr>
          <w:i/>
        </w:rPr>
        <w:t>de facto</w:t>
      </w:r>
      <w:r w:rsidR="0081496C" w:rsidRPr="00D23690">
        <w:t xml:space="preserve"> </w:t>
      </w:r>
      <w:r w:rsidR="00226105" w:rsidRPr="00D23690">
        <w:t xml:space="preserve">des troisième et quatrième </w:t>
      </w:r>
      <w:r w:rsidR="001D5402" w:rsidRPr="00D23690">
        <w:t xml:space="preserve">requérants </w:t>
      </w:r>
      <w:r w:rsidR="00226105" w:rsidRPr="00D23690">
        <w:t>de l</w:t>
      </w:r>
      <w:r>
        <w:t>’</w:t>
      </w:r>
      <w:r w:rsidR="00226105" w:rsidRPr="00D23690">
        <w:t xml:space="preserve">école était arbitraire et </w:t>
      </w:r>
      <w:r w:rsidR="001D5402" w:rsidRPr="00D23690">
        <w:t>non justifiée</w:t>
      </w:r>
      <w:r w:rsidR="00226105" w:rsidRPr="00D23690">
        <w:t xml:space="preserve"> légale</w:t>
      </w:r>
      <w:r w:rsidR="001D5402" w:rsidRPr="00D23690">
        <w:t>ment</w:t>
      </w:r>
      <w:r w:rsidR="00226105" w:rsidRPr="00D23690">
        <w:t>.</w:t>
      </w:r>
      <w:r w:rsidR="001D5402" w:rsidRPr="00D23690">
        <w:t xml:space="preserve"> Ils affirment que l</w:t>
      </w:r>
      <w:r w:rsidR="00226105" w:rsidRPr="00D23690">
        <w:t xml:space="preserve">es autorités ne leur ont jamais proposé </w:t>
      </w:r>
      <w:r w:rsidR="001D5402" w:rsidRPr="00D23690">
        <w:t>la</w:t>
      </w:r>
      <w:r w:rsidR="00226105" w:rsidRPr="00D23690">
        <w:t xml:space="preserve"> désign</w:t>
      </w:r>
      <w:r w:rsidR="001D5402" w:rsidRPr="00D23690">
        <w:t>ation d</w:t>
      </w:r>
      <w:r>
        <w:t>’</w:t>
      </w:r>
      <w:r w:rsidR="00226105" w:rsidRPr="00D23690">
        <w:t>un instituteur pour donner des cours à domicile</w:t>
      </w:r>
      <w:r w:rsidR="001D5402" w:rsidRPr="00D23690">
        <w:t xml:space="preserve"> aux enfants exclus</w:t>
      </w:r>
      <w:r w:rsidR="00226105" w:rsidRPr="00D23690">
        <w:t xml:space="preserve">. </w:t>
      </w:r>
      <w:r w:rsidR="001D5402" w:rsidRPr="00D23690">
        <w:t>Ils ajoutent que l</w:t>
      </w:r>
      <w:r w:rsidR="00226105" w:rsidRPr="00D23690">
        <w:t>e Gouvernement ne fournit aucun document de nature à prouver que le directeur des services</w:t>
      </w:r>
      <w:r w:rsidR="001D5402" w:rsidRPr="00D23690">
        <w:t xml:space="preserve"> locaux</w:t>
      </w:r>
      <w:r w:rsidR="00226105" w:rsidRPr="00D23690">
        <w:t xml:space="preserve"> de l</w:t>
      </w:r>
      <w:r>
        <w:t>’</w:t>
      </w:r>
      <w:r w:rsidR="001D5402" w:rsidRPr="00D23690">
        <w:t>é</w:t>
      </w:r>
      <w:r w:rsidR="00226105" w:rsidRPr="00D23690">
        <w:t>ducation ou le ministère de l</w:t>
      </w:r>
      <w:r>
        <w:t>’</w:t>
      </w:r>
      <w:r w:rsidR="00D23690" w:rsidRPr="00D23690">
        <w:t>Éducation</w:t>
      </w:r>
      <w:r w:rsidR="00226105" w:rsidRPr="00D23690">
        <w:t xml:space="preserve"> avaient consenti à </w:t>
      </w:r>
      <w:r w:rsidR="001D5402" w:rsidRPr="00D23690">
        <w:t xml:space="preserve">pareille </w:t>
      </w:r>
      <w:r w:rsidR="00226105" w:rsidRPr="00D23690">
        <w:t xml:space="preserve">désignation. Ils </w:t>
      </w:r>
      <w:r w:rsidR="002A08E0" w:rsidRPr="00D23690">
        <w:t>indiquent</w:t>
      </w:r>
      <w:r w:rsidR="00226105" w:rsidRPr="00D23690">
        <w:t xml:space="preserve"> par ailleurs qu</w:t>
      </w:r>
      <w:r>
        <w:t>’</w:t>
      </w:r>
      <w:r w:rsidR="00226105" w:rsidRPr="00D23690">
        <w:t>ils n</w:t>
      </w:r>
      <w:r>
        <w:t>’</w:t>
      </w:r>
      <w:r w:rsidR="002A08E0" w:rsidRPr="00D23690">
        <w:t xml:space="preserve">auraient pas été en mesure de </w:t>
      </w:r>
      <w:r w:rsidR="00226105" w:rsidRPr="00D23690">
        <w:t>ref</w:t>
      </w:r>
      <w:r w:rsidR="0004094F" w:rsidRPr="00D23690">
        <w:t>us</w:t>
      </w:r>
      <w:r w:rsidR="002A08E0" w:rsidRPr="00D23690">
        <w:t>er une telle</w:t>
      </w:r>
      <w:r w:rsidR="0004094F" w:rsidRPr="00D23690">
        <w:t xml:space="preserve"> proposition</w:t>
      </w:r>
      <w:r w:rsidR="002A08E0" w:rsidRPr="00D23690">
        <w:t xml:space="preserve"> en raison de la portée de </w:t>
      </w:r>
      <w:r w:rsidR="0004094F" w:rsidRPr="00D23690">
        <w:t>l</w:t>
      </w:r>
      <w:r>
        <w:t>’</w:t>
      </w:r>
      <w:r w:rsidR="0004094F" w:rsidRPr="00D23690">
        <w:t>obligation de l</w:t>
      </w:r>
      <w:r>
        <w:t>’</w:t>
      </w:r>
      <w:r w:rsidR="0004094F" w:rsidRPr="00D23690">
        <w:t>Etat</w:t>
      </w:r>
      <w:r w:rsidR="002A08E0" w:rsidRPr="00D23690">
        <w:t>, pesant également sur les parents,</w:t>
      </w:r>
      <w:r w:rsidR="0004094F" w:rsidRPr="00D23690">
        <w:t xml:space="preserve"> d</w:t>
      </w:r>
      <w:r>
        <w:t>’</w:t>
      </w:r>
      <w:r w:rsidR="0004094F" w:rsidRPr="00D23690">
        <w:t>assurer l</w:t>
      </w:r>
      <w:r>
        <w:t>’</w:t>
      </w:r>
      <w:r w:rsidR="0004094F" w:rsidRPr="00D23690">
        <w:t xml:space="preserve">instruction primaire </w:t>
      </w:r>
      <w:r w:rsidR="002A08E0" w:rsidRPr="00D23690">
        <w:t>des</w:t>
      </w:r>
      <w:r w:rsidR="0004094F" w:rsidRPr="00D23690">
        <w:t xml:space="preserve"> enfants.</w:t>
      </w:r>
    </w:p>
    <w:p w:rsidR="00D23690" w:rsidRPr="00D23690" w:rsidRDefault="00F72410" w:rsidP="00D23690">
      <w:pPr>
        <w:pStyle w:val="ECHRPara"/>
        <w:rPr>
          <w:b/>
        </w:rPr>
      </w:pPr>
      <w:fldSimple w:instr=" SEQ level0 \*arabic ">
        <w:r w:rsidR="00886CF1">
          <w:rPr>
            <w:noProof/>
          </w:rPr>
          <w:t>50</w:t>
        </w:r>
      </w:fldSimple>
      <w:r w:rsidR="00D23690" w:rsidRPr="00D23690">
        <w:t>.  La Cour rappelle que, selon sa jurisprudence bien établie, le droit à l</w:t>
      </w:r>
      <w:r>
        <w:t>’</w:t>
      </w:r>
      <w:r w:rsidR="00D23690" w:rsidRPr="00D23690">
        <w:t>instruction, tel qu</w:t>
      </w:r>
      <w:r>
        <w:t>’</w:t>
      </w:r>
      <w:r w:rsidR="00D23690" w:rsidRPr="00D23690">
        <w:t>il est prévu par la première phrase de l</w:t>
      </w:r>
      <w:r>
        <w:t>’</w:t>
      </w:r>
      <w:r w:rsidR="00D23690" w:rsidRPr="00D23690">
        <w:t>article 2 du Protocole n</w:t>
      </w:r>
      <w:r w:rsidR="00D23690" w:rsidRPr="00D23690">
        <w:rPr>
          <w:vertAlign w:val="superscript"/>
        </w:rPr>
        <w:t>o</w:t>
      </w:r>
      <w:r w:rsidR="00D23690" w:rsidRPr="00D23690">
        <w:t xml:space="preserve"> 1 à la Convention, garantit à quiconque relève de la juridiction des Etats contractants « un droit d</w:t>
      </w:r>
      <w:r>
        <w:t>’</w:t>
      </w:r>
      <w:r w:rsidR="00D23690" w:rsidRPr="00D23690">
        <w:t>accès aux établissements scolaires existant à un moment donné », l</w:t>
      </w:r>
      <w:r>
        <w:t>’</w:t>
      </w:r>
      <w:r w:rsidR="00D23690" w:rsidRPr="00D23690">
        <w:t>accès à ces derniers ne formant qu</w:t>
      </w:r>
      <w:r>
        <w:t>’</w:t>
      </w:r>
      <w:r w:rsidR="00D23690" w:rsidRPr="00D23690">
        <w:t>une partie de ce droit fondamental (</w:t>
      </w:r>
      <w:r w:rsidR="00D23690" w:rsidRPr="00D23690">
        <w:rPr>
          <w:i/>
        </w:rPr>
        <w:t>Affaire « relative à certains aspects du régime linguistique de l</w:t>
      </w:r>
      <w:r>
        <w:rPr>
          <w:i/>
        </w:rPr>
        <w:t>’</w:t>
      </w:r>
      <w:r w:rsidR="00D23690" w:rsidRPr="00D23690">
        <w:rPr>
          <w:i/>
        </w:rPr>
        <w:t>enseignement en Belgique » c. Belgique</w:t>
      </w:r>
      <w:r w:rsidR="00D23690" w:rsidRPr="00D23690">
        <w:t>, 23 juillet 1968, §§ 3-5, série A n</w:t>
      </w:r>
      <w:r w:rsidR="00D23690" w:rsidRPr="00D23690">
        <w:rPr>
          <w:vertAlign w:val="superscript"/>
        </w:rPr>
        <w:t>o</w:t>
      </w:r>
      <w:r w:rsidR="00D23690" w:rsidRPr="00D23690">
        <w:t xml:space="preserve"> 6; </w:t>
      </w:r>
      <w:r w:rsidR="00D23690" w:rsidRPr="00D23690">
        <w:rPr>
          <w:i/>
        </w:rPr>
        <w:t>Kjeldsen, Busk Madsen et Pedersen c. Danemark</w:t>
      </w:r>
      <w:r w:rsidR="00D23690" w:rsidRPr="00D23690">
        <w:t>, 7 décembre 1976, § 52, série A n</w:t>
      </w:r>
      <w:r w:rsidR="00D23690" w:rsidRPr="00D23690">
        <w:rPr>
          <w:vertAlign w:val="superscript"/>
        </w:rPr>
        <w:t>o</w:t>
      </w:r>
      <w:r w:rsidR="00D23690" w:rsidRPr="00D23690">
        <w:t xml:space="preserve"> 23; </w:t>
      </w:r>
      <w:r w:rsidR="00D23690" w:rsidRPr="00D23690">
        <w:rPr>
          <w:i/>
        </w:rPr>
        <w:t xml:space="preserve">Leyla Şahin c. Turquie </w:t>
      </w:r>
      <w:r w:rsidR="00D23690" w:rsidRPr="00D23690">
        <w:t>[GC], n</w:t>
      </w:r>
      <w:r w:rsidR="00D23690" w:rsidRPr="00D23690">
        <w:rPr>
          <w:vertAlign w:val="superscript"/>
        </w:rPr>
        <w:t>o</w:t>
      </w:r>
      <w:r w:rsidR="00D23690" w:rsidRPr="00D23690">
        <w:t xml:space="preserve"> 44774/98, § 152, CEDH 2005-XI, </w:t>
      </w:r>
      <w:r w:rsidR="00D23690" w:rsidRPr="00D23690">
        <w:rPr>
          <w:i/>
        </w:rPr>
        <w:t>Oršuš et autres</w:t>
      </w:r>
      <w:r w:rsidR="00D23690" w:rsidRPr="00D23690">
        <w:t xml:space="preserve">, précité, § 146, et </w:t>
      </w:r>
      <w:r w:rsidR="00D23690" w:rsidRPr="00D23690">
        <w:rPr>
          <w:i/>
        </w:rPr>
        <w:t>Catan et autres c. République de Moldova et Russie</w:t>
      </w:r>
      <w:r w:rsidR="00D23690" w:rsidRPr="00D23690">
        <w:t xml:space="preserve"> [GC], n</w:t>
      </w:r>
      <w:r w:rsidR="00D23690" w:rsidRPr="00D23690">
        <w:rPr>
          <w:vertAlign w:val="superscript"/>
        </w:rPr>
        <w:t>os</w:t>
      </w:r>
      <w:r w:rsidR="00D23690" w:rsidRPr="00D23690">
        <w:t xml:space="preserve"> 43370/04, 8252/05 et 18454/06, § 137, CEDH 2012). Pour important qu</w:t>
      </w:r>
      <w:r>
        <w:t>’</w:t>
      </w:r>
      <w:r w:rsidR="00D23690" w:rsidRPr="00D23690">
        <w:t>il soit, ce droit n</w:t>
      </w:r>
      <w:r>
        <w:t>’</w:t>
      </w:r>
      <w:r w:rsidR="00D23690" w:rsidRPr="00D23690">
        <w:t>est toutefois pas absolu ; il peut donner lieu à des limitations implicitement admises car il « appelle de par sa nature même une réglementation par l</w:t>
      </w:r>
      <w:r>
        <w:t>’</w:t>
      </w:r>
      <w:r w:rsidR="00D23690" w:rsidRPr="00D23690">
        <w:t>Etat ». Certes, des règles régissant les établissements d</w:t>
      </w:r>
      <w:r>
        <w:t>’</w:t>
      </w:r>
      <w:r w:rsidR="00D23690" w:rsidRPr="00D23690">
        <w:t>enseignement peuvent varier dans le temps en fonction entre autres des besoins et des ressources de la communauté ainsi que des particularités de l</w:t>
      </w:r>
      <w:r>
        <w:t>’</w:t>
      </w:r>
      <w:r w:rsidR="00D23690" w:rsidRPr="00D23690">
        <w:t>enseignement de différents niveaux. Par conséquent, les autorités nationales jouissent en la matière d</w:t>
      </w:r>
      <w:r>
        <w:t>’</w:t>
      </w:r>
      <w:r w:rsidR="00D23690" w:rsidRPr="00D23690">
        <w:t>une certaine marge d</w:t>
      </w:r>
      <w:r>
        <w:t>’</w:t>
      </w:r>
      <w:r w:rsidR="00D23690" w:rsidRPr="00D23690">
        <w:t>appréciation, mais il appartient à la Cour de statuer en dernier ressort sur le respect des exigences de la Convention. Afin de s</w:t>
      </w:r>
      <w:r>
        <w:t>’</w:t>
      </w:r>
      <w:r w:rsidR="00D23690" w:rsidRPr="00D23690">
        <w:t>assurer que les limitations mises en œuvre ne réduisent pas le droit dont il s</w:t>
      </w:r>
      <w:r>
        <w:t>’</w:t>
      </w:r>
      <w:r w:rsidR="00D23690" w:rsidRPr="00D23690">
        <w:t>agit au point de l</w:t>
      </w:r>
      <w:r>
        <w:t>’</w:t>
      </w:r>
      <w:r w:rsidR="00D23690" w:rsidRPr="00D23690">
        <w:t>atteindre dans sa substance même et de le priver de son effectivité, la Cour doit se convaincre que celles-ci sont prévisibles pour le justiciable et tendent à un but légitime. Toutefois, à la différence des articles 8 à 11 de la Convention, elle n</w:t>
      </w:r>
      <w:r>
        <w:t>’</w:t>
      </w:r>
      <w:r w:rsidR="00D23690" w:rsidRPr="00D23690">
        <w:t>est pas liée par une énumération exhaustive des « buts légitimes » sur le terrain de l</w:t>
      </w:r>
      <w:r>
        <w:t>’</w:t>
      </w:r>
      <w:r w:rsidR="00D23690" w:rsidRPr="00D23690">
        <w:t>article 2 du Protocole n</w:t>
      </w:r>
      <w:r w:rsidR="00D23690" w:rsidRPr="00D23690">
        <w:rPr>
          <w:vertAlign w:val="superscript"/>
        </w:rPr>
        <w:t>o</w:t>
      </w:r>
      <w:r w:rsidR="00D23690" w:rsidRPr="00D23690">
        <w:t xml:space="preserve"> 1 (voir, </w:t>
      </w:r>
      <w:r w:rsidR="00D23690" w:rsidRPr="00D23690">
        <w:rPr>
          <w:i/>
        </w:rPr>
        <w:t>mutatis mutandis</w:t>
      </w:r>
      <w:r w:rsidR="00D23690" w:rsidRPr="00D23690">
        <w:t xml:space="preserve">, </w:t>
      </w:r>
      <w:r w:rsidR="00D23690" w:rsidRPr="00D23690">
        <w:rPr>
          <w:i/>
        </w:rPr>
        <w:t>Podkolzina c. Lettonie</w:t>
      </w:r>
      <w:r w:rsidR="00D23690" w:rsidRPr="00D23690">
        <w:t>, n</w:t>
      </w:r>
      <w:r w:rsidR="00D23690" w:rsidRPr="00D23690">
        <w:rPr>
          <w:vertAlign w:val="superscript"/>
        </w:rPr>
        <w:t>o</w:t>
      </w:r>
      <w:r w:rsidR="00D23690" w:rsidRPr="00D23690">
        <w:t xml:space="preserve"> 46726/99, § 36, CEDH 2002-II). En outre, pareille limitation ne se concilie avec ledit article que s</w:t>
      </w:r>
      <w:r>
        <w:t>’</w:t>
      </w:r>
      <w:r w:rsidR="00D23690" w:rsidRPr="00D23690">
        <w:t>il existe un rapport raisonnable de proportionnalité entre les moyens employés et le but visé (</w:t>
      </w:r>
      <w:r w:rsidR="004E5037">
        <w:rPr>
          <w:i/>
        </w:rPr>
        <w:t>Leyla Şahin</w:t>
      </w:r>
      <w:r w:rsidR="00D23690" w:rsidRPr="00D23690">
        <w:rPr>
          <w:i/>
        </w:rPr>
        <w:t xml:space="preserve">, </w:t>
      </w:r>
      <w:r w:rsidR="00D23690" w:rsidRPr="00D23690">
        <w:t xml:space="preserve">précité, § 154, et </w:t>
      </w:r>
      <w:r w:rsidR="00D23690" w:rsidRPr="00D23690">
        <w:rPr>
          <w:i/>
        </w:rPr>
        <w:t>Ali c. Royaume-Uni</w:t>
      </w:r>
      <w:r w:rsidR="00D23690">
        <w:t>, n</w:t>
      </w:r>
      <w:r w:rsidRPr="00F72410">
        <w:rPr>
          <w:vertAlign w:val="superscript"/>
        </w:rPr>
        <w:t>o</w:t>
      </w:r>
      <w:r w:rsidR="00D23690">
        <w:t xml:space="preserve"> 40385/06, § 53, 11 </w:t>
      </w:r>
      <w:r w:rsidR="00D23690" w:rsidRPr="00D23690">
        <w:t>janvier 2011).</w:t>
      </w:r>
    </w:p>
    <w:p w:rsidR="00D23690" w:rsidRPr="00D23690" w:rsidRDefault="00D23690" w:rsidP="00D23690">
      <w:pPr>
        <w:ind w:firstLine="284"/>
        <w:rPr>
          <w:lang w:val="fr-FR"/>
        </w:rPr>
      </w:pPr>
      <w:r w:rsidRPr="00D23690">
        <w:rPr>
          <w:rStyle w:val="ECHRParaChar"/>
          <w:lang w:val="fr-FR"/>
        </w:rPr>
        <w:fldChar w:fldCharType="begin"/>
      </w:r>
      <w:r w:rsidRPr="00D23690">
        <w:rPr>
          <w:rStyle w:val="ECHRParaChar"/>
          <w:lang w:val="fr-FR"/>
        </w:rPr>
        <w:instrText xml:space="preserve"> SEQ level0 \*arabic </w:instrText>
      </w:r>
      <w:r w:rsidRPr="00D23690">
        <w:rPr>
          <w:rStyle w:val="ECHRParaChar"/>
          <w:lang w:val="fr-FR"/>
        </w:rPr>
        <w:fldChar w:fldCharType="separate"/>
      </w:r>
      <w:r w:rsidR="00886CF1">
        <w:rPr>
          <w:rStyle w:val="ECHRParaChar"/>
          <w:noProof/>
          <w:lang w:val="fr-FR"/>
        </w:rPr>
        <w:t>51</w:t>
      </w:r>
      <w:r w:rsidRPr="00D23690">
        <w:rPr>
          <w:rStyle w:val="ECHRParaChar"/>
          <w:lang w:val="fr-FR"/>
        </w:rPr>
        <w:fldChar w:fldCharType="end"/>
      </w:r>
      <w:r w:rsidRPr="00D23690">
        <w:rPr>
          <w:rStyle w:val="ECHRParaChar"/>
          <w:lang w:val="fr-FR"/>
        </w:rPr>
        <w:t>.  En l</w:t>
      </w:r>
      <w:r w:rsidR="00F72410">
        <w:rPr>
          <w:rStyle w:val="ECHRParaChar"/>
          <w:lang w:val="fr-FR"/>
        </w:rPr>
        <w:t>’</w:t>
      </w:r>
      <w:r w:rsidRPr="00D23690">
        <w:rPr>
          <w:rStyle w:val="ECHRParaChar"/>
          <w:lang w:val="fr-FR"/>
        </w:rPr>
        <w:t>espèce, la Cour constate que les requérants mineurs, âgés alors de 11 et 7 ans, ont été exclus de leur</w:t>
      </w:r>
      <w:r>
        <w:rPr>
          <w:rStyle w:val="ECHRParaChar"/>
          <w:lang w:val="fr-FR"/>
        </w:rPr>
        <w:t xml:space="preserve"> école primaire du 2 juin au 12 </w:t>
      </w:r>
      <w:r w:rsidRPr="00D23690">
        <w:rPr>
          <w:rStyle w:val="ECHRParaChar"/>
          <w:lang w:val="fr-FR"/>
        </w:rPr>
        <w:t>décembre 2011. Ils ont ainsi été empêchés d</w:t>
      </w:r>
      <w:r w:rsidR="00F72410">
        <w:rPr>
          <w:rStyle w:val="ECHRParaChar"/>
          <w:lang w:val="fr-FR"/>
        </w:rPr>
        <w:t>’</w:t>
      </w:r>
      <w:r w:rsidRPr="00D23690">
        <w:rPr>
          <w:rStyle w:val="ECHRParaChar"/>
          <w:lang w:val="fr-FR"/>
        </w:rPr>
        <w:t>assister aux cours pendant plus de trois mois à partir de la rentrée scolaire 2011. L</w:t>
      </w:r>
      <w:r w:rsidR="00F72410">
        <w:rPr>
          <w:rStyle w:val="ECHRParaChar"/>
          <w:lang w:val="fr-FR"/>
        </w:rPr>
        <w:t>’</w:t>
      </w:r>
      <w:r w:rsidRPr="00D23690">
        <w:rPr>
          <w:rStyle w:val="ECHRParaChar"/>
          <w:lang w:val="fr-FR"/>
        </w:rPr>
        <w:t>exclusion prononcée par les autorités était fondée sur les dispositions de l</w:t>
      </w:r>
      <w:r w:rsidR="00F72410">
        <w:rPr>
          <w:rStyle w:val="ECHRParaChar"/>
          <w:lang w:val="fr-FR"/>
        </w:rPr>
        <w:t>’</w:t>
      </w:r>
      <w:r w:rsidRPr="00D23690">
        <w:rPr>
          <w:rStyle w:val="ECHRParaChar"/>
          <w:lang w:val="fr-FR"/>
        </w:rPr>
        <w:t>article 20 de la loi n</w:t>
      </w:r>
      <w:r w:rsidR="00F72410" w:rsidRPr="00F72410">
        <w:rPr>
          <w:rStyle w:val="ECHRParaChar"/>
          <w:vertAlign w:val="superscript"/>
          <w:lang w:val="fr-FR"/>
        </w:rPr>
        <w:t>o</w:t>
      </w:r>
      <w:r w:rsidRPr="00D23690">
        <w:rPr>
          <w:rStyle w:val="ECHRParaChar"/>
          <w:lang w:val="fr-FR"/>
        </w:rPr>
        <w:t> 3172/2003 et des articles 3 et 8 de la loi n</w:t>
      </w:r>
      <w:r w:rsidR="00F72410" w:rsidRPr="00F72410">
        <w:rPr>
          <w:rStyle w:val="ECHRParaChar"/>
          <w:vertAlign w:val="superscript"/>
          <w:lang w:val="fr-FR"/>
        </w:rPr>
        <w:t>o</w:t>
      </w:r>
      <w:r w:rsidRPr="00D23690">
        <w:rPr>
          <w:rStyle w:val="ECHRParaChar"/>
          <w:lang w:val="fr-FR"/>
        </w:rPr>
        <w:t xml:space="preserve"> 1371/1981. Elle était donc régulière et prévisible</w:t>
      </w:r>
      <w:r w:rsidRPr="00D23690">
        <w:rPr>
          <w:lang w:val="fr-FR"/>
        </w:rPr>
        <w:t>.</w:t>
      </w:r>
    </w:p>
    <w:p w:rsidR="00D23690" w:rsidRPr="00D23690" w:rsidRDefault="00F72410" w:rsidP="00D23690">
      <w:pPr>
        <w:pStyle w:val="ECHRPara"/>
      </w:pPr>
      <w:fldSimple w:instr=" SEQ level0 \*arabic ">
        <w:r w:rsidR="00886CF1">
          <w:rPr>
            <w:noProof/>
          </w:rPr>
          <w:t>52</w:t>
        </w:r>
      </w:fldSimple>
      <w:r w:rsidR="00D23690" w:rsidRPr="00D23690">
        <w:t>.  Par ailleurs, la Cour relève que, le 2 juin 2011, date à laquelle les requérants ont été autorisés à quitter l</w:t>
      </w:r>
      <w:r>
        <w:t>’</w:t>
      </w:r>
      <w:r w:rsidR="00D23690" w:rsidRPr="00D23690">
        <w:t>hôpital de Rion, le chef de la direction de la santé publique de la région de la Grèce de l</w:t>
      </w:r>
      <w:r>
        <w:t>’</w:t>
      </w:r>
      <w:r w:rsidR="00D23690" w:rsidRPr="00D23690">
        <w:t>Ouest a adressé au directeur de l</w:t>
      </w:r>
      <w:r>
        <w:t>’</w:t>
      </w:r>
      <w:r w:rsidR="00D23690" w:rsidRPr="00D23690">
        <w:t>école susmentionnée une lettre dans laquelle il précisait que la scolarité des requérants mineurs se poursuivrait seulement après avis de la commission prévue à l</w:t>
      </w:r>
      <w:r>
        <w:t>’</w:t>
      </w:r>
      <w:r w:rsidR="00D23690" w:rsidRPr="00D23690">
        <w:t>article 8 de la loi n</w:t>
      </w:r>
      <w:r w:rsidR="00D23690" w:rsidRPr="00D23690">
        <w:rPr>
          <w:vertAlign w:val="superscript"/>
        </w:rPr>
        <w:t>o</w:t>
      </w:r>
      <w:r w:rsidR="00D23690" w:rsidRPr="00D23690">
        <w:t xml:space="preserve"> 1137/1981. Elle constate que ce même responsable a réitéré sa position, le 15 juillet 2011, après que les requérants lui aient communiqué les résultats des tests subis à l</w:t>
      </w:r>
      <w:r>
        <w:t>’</w:t>
      </w:r>
      <w:r w:rsidR="00D23690" w:rsidRPr="00D23690">
        <w:t>hôpital « Aghia Varvara », contestés par le Gouvernement, et aient sollicité la levée des mesures litigieuses. Elle note également que la commission susmentionnée n</w:t>
      </w:r>
      <w:r>
        <w:t>’</w:t>
      </w:r>
      <w:r w:rsidR="00D23690" w:rsidRPr="00D23690">
        <w:t>avait été instituée ni à la première date ni à la deuxième date.</w:t>
      </w:r>
    </w:p>
    <w:p w:rsidR="00D23690" w:rsidRPr="00D23690" w:rsidRDefault="00F72410" w:rsidP="00D23690">
      <w:pPr>
        <w:pStyle w:val="ECHRPara"/>
      </w:pPr>
      <w:fldSimple w:instr=" SEQ level0 \*arabic ">
        <w:r w:rsidR="00886CF1">
          <w:rPr>
            <w:noProof/>
          </w:rPr>
          <w:t>53</w:t>
        </w:r>
      </w:fldSimple>
      <w:r w:rsidR="00D23690" w:rsidRPr="00D23690">
        <w:t>.  En outre, la Cour relève que, le 18 novembre 2011, nonobstant sa position selon laquelle la scolarisation des requérants mineurs n</w:t>
      </w:r>
      <w:r>
        <w:t>’</w:t>
      </w:r>
      <w:r w:rsidR="00D23690" w:rsidRPr="00D23690">
        <w:t>était pas possible avant l</w:t>
      </w:r>
      <w:r>
        <w:t>’</w:t>
      </w:r>
      <w:r w:rsidR="00D23690" w:rsidRPr="00D23690">
        <w:t>examen de leur état de santé par ladite commission, le chef de la direction de la santé publique informa les plaignants qu</w:t>
      </w:r>
      <w:r>
        <w:t>’</w:t>
      </w:r>
      <w:r w:rsidR="00D23690" w:rsidRPr="00D23690">
        <w:t>il n</w:t>
      </w:r>
      <w:r>
        <w:t>’</w:t>
      </w:r>
      <w:r w:rsidR="00D23690" w:rsidRPr="00D23690">
        <w:t>avait pris aucune décision formelle prohibant la poursuite de la scolarité des troisième et quatrième requérants.</w:t>
      </w:r>
    </w:p>
    <w:p w:rsidR="00D23690" w:rsidRPr="00D23690" w:rsidRDefault="00F72410" w:rsidP="00D23690">
      <w:pPr>
        <w:pStyle w:val="ECHRPara"/>
      </w:pPr>
      <w:fldSimple w:instr=" SEQ level0 \*arabic ">
        <w:r w:rsidR="00886CF1">
          <w:rPr>
            <w:noProof/>
          </w:rPr>
          <w:t>54</w:t>
        </w:r>
      </w:fldSimple>
      <w:r w:rsidR="00D23690" w:rsidRPr="00D23690">
        <w:t>.  La Cour note enfin que la commission dont il s</w:t>
      </w:r>
      <w:r>
        <w:t>’</w:t>
      </w:r>
      <w:r w:rsidR="00D23690" w:rsidRPr="00D23690">
        <w:t>agit, n</w:t>
      </w:r>
      <w:r>
        <w:t>’</w:t>
      </w:r>
      <w:r w:rsidR="00D23690" w:rsidRPr="00D23690">
        <w:t>a été instituée que le 21 novembre 2011. Elle s</w:t>
      </w:r>
      <w:r>
        <w:t>’</w:t>
      </w:r>
      <w:r w:rsidR="00D23690" w:rsidRPr="00D23690">
        <w:t>est réunie le 8 décembre 2011 et a conclu que les requérants n</w:t>
      </w:r>
      <w:r>
        <w:t>’</w:t>
      </w:r>
      <w:r w:rsidR="00D23690" w:rsidRPr="00D23690">
        <w:t>étaient pas atteints de la maladie de Hansen et ne représentaient pas un danger pour la santé publique. La transmission par voie administrative d</w:t>
      </w:r>
      <w:r>
        <w:t>’</w:t>
      </w:r>
      <w:r w:rsidR="00D23690" w:rsidRPr="00D23690">
        <w:t xml:space="preserve">une copie de cette </w:t>
      </w:r>
      <w:r w:rsidR="00DD02DA">
        <w:t>commission est intervenue le 12 </w:t>
      </w:r>
      <w:r w:rsidR="00D23690" w:rsidRPr="00D23690">
        <w:t>décembre 2011, date à laquelle les troisième et quatrième requérants ont pu reprendre leur scolarité.</w:t>
      </w:r>
    </w:p>
    <w:p w:rsidR="00D23690" w:rsidRPr="00D23690" w:rsidRDefault="00F72410" w:rsidP="00D23690">
      <w:pPr>
        <w:pStyle w:val="ECHRPara"/>
      </w:pPr>
      <w:fldSimple w:instr=" SEQ level0 \*arabic ">
        <w:r w:rsidR="00886CF1">
          <w:rPr>
            <w:noProof/>
          </w:rPr>
          <w:t>55</w:t>
        </w:r>
      </w:fldSimple>
      <w:r w:rsidR="00D23690" w:rsidRPr="00D23690">
        <w:t>.  Au vu des circonstances de la présente affaire, la Cour a conscience de la nécessité pour les autorités chargées de la protection de la santé publique de prendre les mesures appropriées afin de s</w:t>
      </w:r>
      <w:r>
        <w:t>’</w:t>
      </w:r>
      <w:r w:rsidR="00D23690" w:rsidRPr="00D23690">
        <w:t>assurer qu</w:t>
      </w:r>
      <w:r>
        <w:t>’</w:t>
      </w:r>
      <w:r w:rsidR="00D23690" w:rsidRPr="00D23690">
        <w:t>une maladie aussi grave et infectieuse que celle en cause en l</w:t>
      </w:r>
      <w:r>
        <w:t>’</w:t>
      </w:r>
      <w:r w:rsidR="00D23690" w:rsidRPr="00D23690">
        <w:t>espèce cesse de produire ses effets et d</w:t>
      </w:r>
      <w:r>
        <w:t>’</w:t>
      </w:r>
      <w:r w:rsidR="00D23690" w:rsidRPr="00D23690">
        <w:t>éviter ainsi tout risque de contamination. Par conséquent, la mesure litigieuse poursuivait un but légitime : la protection de la santé des enfants et des enseignants de l</w:t>
      </w:r>
      <w:r>
        <w:t>’</w:t>
      </w:r>
      <w:r w:rsidR="00D23690" w:rsidRPr="00D23690">
        <w:t>école. La Cour considère toutefois que, afin de respecter la proportionnalité entre la protection des intérêts de la collectivité et celle de l</w:t>
      </w:r>
      <w:r>
        <w:t>’</w:t>
      </w:r>
      <w:r w:rsidR="00D23690" w:rsidRPr="00D23690">
        <w:t>intérêt des individus soumis à de telles mesures, lesquelles peuvent avoir par leur nature même de graves conséquences sur la vie de ces derniers, les autorités ont l</w:t>
      </w:r>
      <w:r>
        <w:t>’</w:t>
      </w:r>
      <w:r w:rsidR="00D23690" w:rsidRPr="00D23690">
        <w:t>obligation de faire preuve de diligence et de célérité dans la gestion de ces mesures. Elle estime ainsi qu</w:t>
      </w:r>
      <w:r>
        <w:t>’</w:t>
      </w:r>
      <w:r w:rsidR="00D23690" w:rsidRPr="00D23690">
        <w:t>il convient de veiller à ce que des mesures particulièrement restrictives et contraignantes soient maintenues uniquement pendant la durée strictement nécessaire au but pour lequel elles ont été prises et soient levées aussitôt que la raison pour laquelle elles ont été imposées aura cessé d</w:t>
      </w:r>
      <w:r>
        <w:t>’</w:t>
      </w:r>
      <w:r w:rsidR="00D23690" w:rsidRPr="00D23690">
        <w:t>exister.</w:t>
      </w:r>
    </w:p>
    <w:p w:rsidR="00D23690" w:rsidRPr="00D23690" w:rsidRDefault="00F72410" w:rsidP="00D23690">
      <w:pPr>
        <w:pStyle w:val="ECHRPara"/>
      </w:pPr>
      <w:fldSimple w:instr=" SEQ level0 \*arabic ">
        <w:r w:rsidR="00886CF1">
          <w:rPr>
            <w:noProof/>
          </w:rPr>
          <w:t>56</w:t>
        </w:r>
      </w:fldSimple>
      <w:r w:rsidR="00D23690" w:rsidRPr="00D23690">
        <w:t>.  Ces considérations sont particulièrement évidentes dans un cas comme celui de la présente espèce. En l</w:t>
      </w:r>
      <w:r>
        <w:t>’</w:t>
      </w:r>
      <w:r w:rsidR="00D23690" w:rsidRPr="00D23690">
        <w:t>occurrence, la Cour estime que le diagnostic initial fait à l</w:t>
      </w:r>
      <w:r>
        <w:t>’</w:t>
      </w:r>
      <w:r w:rsidR="00D23690" w:rsidRPr="00D23690">
        <w:t>hôpital de Rion justifiait l</w:t>
      </w:r>
      <w:r>
        <w:t>’</w:t>
      </w:r>
      <w:r w:rsidR="00D23690" w:rsidRPr="00D23690">
        <w:t>examen clini</w:t>
      </w:r>
      <w:r w:rsidR="00DD02DA">
        <w:t xml:space="preserve">que des </w:t>
      </w:r>
      <w:r w:rsidR="00D23690" w:rsidRPr="00D23690">
        <w:t>troisième et quatrième requérants et donc leur absence obligée de l</w:t>
      </w:r>
      <w:r>
        <w:t>’</w:t>
      </w:r>
      <w:r w:rsidR="00D23690" w:rsidRPr="00D23690">
        <w:t>école pendant une certaine période. A cet égard, la Cour note que, dans sa décision du 6 juin 2011, alors que les requérants avaient été autorisés à quitter l</w:t>
      </w:r>
      <w:r>
        <w:t>’</w:t>
      </w:r>
      <w:r w:rsidR="00D23690" w:rsidRPr="00D23690">
        <w:t>hôpital le 2 juin 2011, le chef de la direction de la santé publique de la région de la Grèce de l</w:t>
      </w:r>
      <w:r>
        <w:t>’</w:t>
      </w:r>
      <w:r w:rsidR="00D23690" w:rsidRPr="00D23690">
        <w:t>Ouest précisait que ceux-ci ne risquaient plus de contaminer ceux qui les approchaient. Elle observe toutefois que, à deux reprises, d</w:t>
      </w:r>
      <w:r>
        <w:t>’</w:t>
      </w:r>
      <w:r w:rsidR="00D23690" w:rsidRPr="00D23690">
        <w:t>abord le 2 juin puis surtout le 15 juillet 2011, à la suite du diagnostic de l</w:t>
      </w:r>
      <w:r>
        <w:t>’</w:t>
      </w:r>
      <w:r w:rsidR="00D23690" w:rsidRPr="00D23690">
        <w:t>hôpital spécialisé dans le traitement de la maladie de Hansen, ce même chef avait subordonné la reprise des cours par les deux requérants mineurs à la décision de la commission précitée alors même que cette dernière n</w:t>
      </w:r>
      <w:r>
        <w:t>’</w:t>
      </w:r>
      <w:r w:rsidR="00D23690" w:rsidRPr="00D23690">
        <w:t>avait pas encore été instituée. Elle constate également que, en dépit de la reprise des cours début septembre et des démarches des requérants pour faire accélérer le processus, ladite commission n</w:t>
      </w:r>
      <w:r>
        <w:t>’</w:t>
      </w:r>
      <w:r w:rsidR="00D23690" w:rsidRPr="00D23690">
        <w:t>a été instituée que le 21 novembre 2011 et qu</w:t>
      </w:r>
      <w:r>
        <w:t>’</w:t>
      </w:r>
      <w:r w:rsidR="00D23690" w:rsidRPr="00D23690">
        <w:t>elle n</w:t>
      </w:r>
      <w:r>
        <w:t>’</w:t>
      </w:r>
      <w:r w:rsidR="00D23690" w:rsidRPr="00D23690">
        <w:t>a procédé à l</w:t>
      </w:r>
      <w:r>
        <w:t>’</w:t>
      </w:r>
      <w:r w:rsidR="00D23690" w:rsidRPr="00D23690">
        <w:t>examen des requérants que le 8 décembre 2011.</w:t>
      </w:r>
    </w:p>
    <w:p w:rsidR="00D23690" w:rsidRPr="00D23690" w:rsidRDefault="00F72410" w:rsidP="00D23690">
      <w:pPr>
        <w:pStyle w:val="ECHRPara"/>
      </w:pPr>
      <w:fldSimple w:instr=" SEQ level0 \*arabic ">
        <w:r w:rsidR="00886CF1">
          <w:rPr>
            <w:noProof/>
          </w:rPr>
          <w:t>57</w:t>
        </w:r>
      </w:fldSimple>
      <w:r w:rsidR="00D23690" w:rsidRPr="00D23690">
        <w:t>.  De l</w:t>
      </w:r>
      <w:r>
        <w:t>’</w:t>
      </w:r>
      <w:r w:rsidR="00D23690" w:rsidRPr="00D23690">
        <w:t>avis de la Cour, un tel retard dans la mise en œuvre du processus, lequel devait aboutir à une décision définitive sur l</w:t>
      </w:r>
      <w:r>
        <w:t>’</w:t>
      </w:r>
      <w:r w:rsidR="00D23690" w:rsidRPr="00D23690">
        <w:t xml:space="preserve">application des mesures ayant une incidence grave sur la vie des requérants </w:t>
      </w:r>
      <w:r w:rsidR="00D23690" w:rsidRPr="00D23690">
        <w:rPr>
          <w:rFonts w:cstheme="minorHAnsi"/>
        </w:rPr>
        <w:t>–</w:t>
      </w:r>
      <w:r w:rsidR="00D23690" w:rsidRPr="00D23690">
        <w:t xml:space="preserve"> notamment sur la scolarité des deux enfants </w:t>
      </w:r>
      <w:r w:rsidR="00D23690" w:rsidRPr="00D23690">
        <w:rPr>
          <w:rFonts w:cstheme="minorHAnsi"/>
        </w:rPr>
        <w:t>–</w:t>
      </w:r>
      <w:r w:rsidR="00D23690" w:rsidRPr="00D23690">
        <w:t>, n</w:t>
      </w:r>
      <w:r>
        <w:t>’</w:t>
      </w:r>
      <w:r w:rsidR="00D23690" w:rsidRPr="00D23690">
        <w:t>était pas, dans les circonstances de l</w:t>
      </w:r>
      <w:r>
        <w:t>’</w:t>
      </w:r>
      <w:r w:rsidR="00D23690" w:rsidRPr="00D23690">
        <w:t>espèce, proportionnel au but légitime poursuivi. Par conséquent, la mesure litigieuse a méconnu le droit à l</w:t>
      </w:r>
      <w:r>
        <w:t>’</w:t>
      </w:r>
      <w:r w:rsidR="00D23690" w:rsidRPr="00D23690">
        <w:t>instruction des requérants mineurs, s</w:t>
      </w:r>
      <w:r>
        <w:t>’</w:t>
      </w:r>
      <w:r w:rsidR="00D23690" w:rsidRPr="00D23690">
        <w:t>agissant notamment de l</w:t>
      </w:r>
      <w:r>
        <w:t>’</w:t>
      </w:r>
      <w:r w:rsidR="00D23690" w:rsidRPr="00D23690">
        <w:t>accès à leur établissement scolaire. Il y a donc eu violation de l</w:t>
      </w:r>
      <w:r>
        <w:t>’</w:t>
      </w:r>
      <w:r w:rsidR="00D23690" w:rsidRPr="00D23690">
        <w:t>article 2 du Protocole n</w:t>
      </w:r>
      <w:r w:rsidR="00D23690" w:rsidRPr="00D23690">
        <w:rPr>
          <w:vertAlign w:val="superscript"/>
        </w:rPr>
        <w:t>o</w:t>
      </w:r>
      <w:r w:rsidR="00D23690" w:rsidRPr="00D23690">
        <w:t xml:space="preserve"> 1 à la Convention.</w:t>
      </w:r>
    </w:p>
    <w:p w:rsidR="0097740D" w:rsidRPr="00D23690" w:rsidRDefault="00F72410" w:rsidP="00CA151F">
      <w:pPr>
        <w:pStyle w:val="ECHRPara"/>
      </w:pPr>
      <w:fldSimple w:instr=" SEQ level0 \*arabic ">
        <w:r w:rsidR="00886CF1">
          <w:rPr>
            <w:noProof/>
          </w:rPr>
          <w:t>58</w:t>
        </w:r>
      </w:fldSimple>
      <w:r w:rsidR="00983CE1" w:rsidRPr="00D23690">
        <w:t>.  Compte tenu de cette conclusion, la Cour n</w:t>
      </w:r>
      <w:r>
        <w:t>’</w:t>
      </w:r>
      <w:r w:rsidR="00983CE1" w:rsidRPr="00D23690">
        <w:t>estime pas nécessaire d</w:t>
      </w:r>
      <w:r>
        <w:t>’</w:t>
      </w:r>
      <w:r w:rsidR="00983CE1" w:rsidRPr="00D23690">
        <w:t>examiner séparément le grief tiré de cet article combiné avec l</w:t>
      </w:r>
      <w:r>
        <w:t>’</w:t>
      </w:r>
      <w:r w:rsidR="00983CE1" w:rsidRPr="00D23690">
        <w:t>article 13 de la</w:t>
      </w:r>
      <w:r w:rsidR="00B52A00" w:rsidRPr="00D23690">
        <w:t xml:space="preserve"> </w:t>
      </w:r>
      <w:r w:rsidR="00983CE1" w:rsidRPr="00D23690">
        <w:t>Convention</w:t>
      </w:r>
      <w:r w:rsidR="00C561B1" w:rsidRPr="00D23690">
        <w:t>.</w:t>
      </w:r>
    </w:p>
    <w:p w:rsidR="00EC6427" w:rsidRPr="00D23690" w:rsidRDefault="00AA21ED">
      <w:pPr>
        <w:pStyle w:val="ECHRHeading1"/>
      </w:pPr>
      <w:r w:rsidRPr="00D23690">
        <w:t>IV</w:t>
      </w:r>
      <w:r w:rsidR="00EC6427" w:rsidRPr="00D23690">
        <w:t>.  SUR L</w:t>
      </w:r>
      <w:r w:rsidR="00F72410">
        <w:t>’</w:t>
      </w:r>
      <w:r w:rsidR="00EC6427" w:rsidRPr="00D23690">
        <w:t>APPLICATION DE L</w:t>
      </w:r>
      <w:r w:rsidR="00F72410">
        <w:t>’</w:t>
      </w:r>
      <w:r w:rsidR="00EC6427" w:rsidRPr="00D23690">
        <w:t>ARTICLE 41 DE LA CONVENTION</w:t>
      </w:r>
    </w:p>
    <w:p w:rsidR="00EC6427" w:rsidRPr="00D23690" w:rsidRDefault="00F72410" w:rsidP="00D23690">
      <w:pPr>
        <w:pStyle w:val="ECHRPara"/>
      </w:pPr>
      <w:fldSimple w:instr=" SEQ level0 \*arabic ">
        <w:r w:rsidR="00886CF1">
          <w:rPr>
            <w:noProof/>
          </w:rPr>
          <w:t>59</w:t>
        </w:r>
      </w:fldSimple>
      <w:r w:rsidR="00EC6427" w:rsidRPr="00D23690">
        <w:t>.  Aux termes de l</w:t>
      </w:r>
      <w:r>
        <w:t>’</w:t>
      </w:r>
      <w:r w:rsidR="00EC6427" w:rsidRPr="00D23690">
        <w:t>article 41 de la Convention,</w:t>
      </w:r>
    </w:p>
    <w:p w:rsidR="00EC6427" w:rsidRPr="00D23690" w:rsidRDefault="00EC6427">
      <w:pPr>
        <w:pStyle w:val="ECHRParaQuote"/>
        <w:keepNext/>
        <w:keepLines/>
      </w:pPr>
      <w:r w:rsidRPr="00D23690">
        <w:t>« Si la Cour déclare qu</w:t>
      </w:r>
      <w:r w:rsidR="00F72410">
        <w:t>’</w:t>
      </w:r>
      <w:r w:rsidRPr="00D23690">
        <w:t>il y a eu violation de la Convention ou de ses Protocoles, et si le droit interne de la Haute Partie contractante ne permet d</w:t>
      </w:r>
      <w:r w:rsidR="00F72410">
        <w:t>’</w:t>
      </w:r>
      <w:r w:rsidRPr="00D23690">
        <w:t>effacer qu</w:t>
      </w:r>
      <w:r w:rsidR="00F72410">
        <w:t>’</w:t>
      </w:r>
      <w:r w:rsidRPr="00D23690">
        <w:t>imparfaitement les conséquences de cette violation, la Cour accorde à la partie lésée, s</w:t>
      </w:r>
      <w:r w:rsidR="00F72410">
        <w:t>’</w:t>
      </w:r>
      <w:r w:rsidRPr="00D23690">
        <w:t>il y a lieu, une satisfaction équitable. »</w:t>
      </w:r>
    </w:p>
    <w:p w:rsidR="00EC6427" w:rsidRPr="00D23690" w:rsidRDefault="00EC6427" w:rsidP="00B33C50">
      <w:pPr>
        <w:pStyle w:val="ECHRHeading2"/>
        <w:outlineLvl w:val="0"/>
      </w:pPr>
      <w:r w:rsidRPr="00D23690">
        <w:t>A.  Dommage</w:t>
      </w:r>
      <w:r w:rsidR="00B269F8" w:rsidRPr="00D23690">
        <w:t>s</w:t>
      </w:r>
    </w:p>
    <w:p w:rsidR="00EC6427" w:rsidRPr="00D23690" w:rsidRDefault="00F72410" w:rsidP="009E2D52">
      <w:pPr>
        <w:pStyle w:val="ECHRPara"/>
      </w:pPr>
      <w:fldSimple w:instr=" SEQ level0 \*arabic ">
        <w:r w:rsidR="00886CF1">
          <w:rPr>
            <w:noProof/>
          </w:rPr>
          <w:t>60</w:t>
        </w:r>
      </w:fldSimple>
      <w:r w:rsidR="00EC6427" w:rsidRPr="00D23690">
        <w:t>.  </w:t>
      </w:r>
      <w:r w:rsidR="00C70DB2" w:rsidRPr="00D23690">
        <w:t xml:space="preserve">Les premier et deuxième </w:t>
      </w:r>
      <w:r w:rsidR="00AB406B" w:rsidRPr="00D23690">
        <w:t>requérants</w:t>
      </w:r>
      <w:r w:rsidR="004932DA" w:rsidRPr="00D23690">
        <w:t xml:space="preserve"> réclame</w:t>
      </w:r>
      <w:r w:rsidR="00430622" w:rsidRPr="00D23690">
        <w:t>nt</w:t>
      </w:r>
      <w:r w:rsidR="00C70DB2" w:rsidRPr="00D23690">
        <w:t xml:space="preserve"> la somme globale de </w:t>
      </w:r>
      <w:r w:rsidR="003A132A" w:rsidRPr="00D23690">
        <w:t>22 993,37</w:t>
      </w:r>
      <w:r w:rsidR="00EC6427" w:rsidRPr="00D23690">
        <w:t xml:space="preserve"> euros (EUR) au titre du préjudice matériel </w:t>
      </w:r>
      <w:r w:rsidR="004932DA" w:rsidRPr="00D23690">
        <w:t>qu</w:t>
      </w:r>
      <w:r>
        <w:t>’</w:t>
      </w:r>
      <w:r w:rsidR="00430622" w:rsidRPr="00D23690">
        <w:t>ils</w:t>
      </w:r>
      <w:r w:rsidR="00EC6427" w:rsidRPr="00D23690">
        <w:t xml:space="preserve"> </w:t>
      </w:r>
      <w:r w:rsidR="00F97FD7" w:rsidRPr="00D23690">
        <w:t>disent avoir</w:t>
      </w:r>
      <w:r w:rsidR="004932DA" w:rsidRPr="00D23690">
        <w:t xml:space="preserve"> </w:t>
      </w:r>
      <w:r w:rsidR="00EC6427" w:rsidRPr="00D23690">
        <w:t>subi</w:t>
      </w:r>
      <w:r w:rsidR="00F97FD7" w:rsidRPr="00D23690">
        <w:t xml:space="preserve"> en raison de la perte de leurs emplois respectifs et de la diminution de</w:t>
      </w:r>
      <w:r w:rsidR="00C70DB2" w:rsidRPr="00D23690">
        <w:t xml:space="preserve"> leur</w:t>
      </w:r>
      <w:r w:rsidR="003A132A" w:rsidRPr="00D23690">
        <w:t>s</w:t>
      </w:r>
      <w:r w:rsidR="00C70DB2" w:rsidRPr="00D23690">
        <w:t xml:space="preserve"> revenus pendant la pé</w:t>
      </w:r>
      <w:r w:rsidR="008609C7" w:rsidRPr="00D23690">
        <w:t>rio</w:t>
      </w:r>
      <w:r w:rsidR="00C70DB2" w:rsidRPr="00D23690">
        <w:t xml:space="preserve">de </w:t>
      </w:r>
      <w:r w:rsidR="00F97FD7" w:rsidRPr="00D23690">
        <w:t>correspondant à leur hospitalisation</w:t>
      </w:r>
      <w:r w:rsidR="00EC6427" w:rsidRPr="00D23690">
        <w:t>.</w:t>
      </w:r>
      <w:r w:rsidR="003A132A" w:rsidRPr="00D23690">
        <w:t xml:space="preserve"> Ils réclament </w:t>
      </w:r>
      <w:r w:rsidR="00F97FD7" w:rsidRPr="00D23690">
        <w:t xml:space="preserve">également </w:t>
      </w:r>
      <w:r w:rsidR="003A132A" w:rsidRPr="00D23690">
        <w:t xml:space="preserve">20 000 EUR </w:t>
      </w:r>
      <w:r w:rsidR="0087481C" w:rsidRPr="00D23690">
        <w:t xml:space="preserve">chacun </w:t>
      </w:r>
      <w:r w:rsidR="003A132A" w:rsidRPr="00D23690">
        <w:t xml:space="preserve">pour dommage moral. </w:t>
      </w:r>
      <w:r w:rsidR="001C7C0F" w:rsidRPr="00D23690">
        <w:t>S</w:t>
      </w:r>
      <w:r>
        <w:t>’</w:t>
      </w:r>
      <w:r w:rsidR="001C7C0F" w:rsidRPr="00D23690">
        <w:t>agissant d</w:t>
      </w:r>
      <w:r w:rsidR="003A132A" w:rsidRPr="00D23690">
        <w:t>es troisième et quatrième requérants</w:t>
      </w:r>
      <w:r w:rsidR="001C7C0F" w:rsidRPr="00D23690">
        <w:t>, ils</w:t>
      </w:r>
      <w:r w:rsidR="003A132A" w:rsidRPr="00D23690">
        <w:t xml:space="preserve"> demandent 30 000 EUR chacun pour dommage moral.</w:t>
      </w:r>
      <w:r w:rsidR="008E6C45" w:rsidRPr="00D23690">
        <w:t xml:space="preserve"> Les requérants précisent </w:t>
      </w:r>
      <w:r w:rsidR="005F231A" w:rsidRPr="00D23690">
        <w:t>en outre</w:t>
      </w:r>
      <w:r w:rsidR="008E6C45" w:rsidRPr="00D23690">
        <w:t xml:space="preserve"> qu</w:t>
      </w:r>
      <w:r>
        <w:t>’</w:t>
      </w:r>
      <w:r w:rsidR="008E6C45" w:rsidRPr="00D23690">
        <w:t>ils ne disposent pas d</w:t>
      </w:r>
      <w:r>
        <w:t>’</w:t>
      </w:r>
      <w:r w:rsidR="00964559" w:rsidRPr="00D23690">
        <w:t>un</w:t>
      </w:r>
      <w:r w:rsidR="008E6C45" w:rsidRPr="00D23690">
        <w:t xml:space="preserve"> compte en banque et </w:t>
      </w:r>
      <w:r w:rsidR="0057792E" w:rsidRPr="00D23690">
        <w:t xml:space="preserve">ils </w:t>
      </w:r>
      <w:r w:rsidR="008E6C45" w:rsidRPr="00D23690">
        <w:t>invite</w:t>
      </w:r>
      <w:r w:rsidR="0057792E" w:rsidRPr="00D23690">
        <w:t>nt</w:t>
      </w:r>
      <w:r w:rsidR="008E6C45" w:rsidRPr="00D23690">
        <w:t xml:space="preserve"> la Cour à </w:t>
      </w:r>
      <w:r w:rsidR="00DC4F5D" w:rsidRPr="00D23690">
        <w:t>se prononcer pour le</w:t>
      </w:r>
      <w:r w:rsidR="0057792E" w:rsidRPr="00D23690">
        <w:t xml:space="preserve"> versement des</w:t>
      </w:r>
      <w:r w:rsidR="008E6C45" w:rsidRPr="00D23690">
        <w:t xml:space="preserve"> somme</w:t>
      </w:r>
      <w:r w:rsidR="0057792E" w:rsidRPr="00D23690">
        <w:t>s accord</w:t>
      </w:r>
      <w:r w:rsidR="00F03C3B" w:rsidRPr="00D23690">
        <w:t>ées par elle</w:t>
      </w:r>
      <w:r w:rsidR="008E6C45" w:rsidRPr="00D23690">
        <w:t xml:space="preserve"> directement à leur avocat.</w:t>
      </w:r>
    </w:p>
    <w:p w:rsidR="00EC6427" w:rsidRPr="00D23690" w:rsidRDefault="00F72410" w:rsidP="00D23690">
      <w:pPr>
        <w:pStyle w:val="ECHRPara"/>
      </w:pPr>
      <w:fldSimple w:instr=" SEQ level0 \*arabic ">
        <w:r w:rsidR="00886CF1">
          <w:rPr>
            <w:noProof/>
          </w:rPr>
          <w:t>61</w:t>
        </w:r>
      </w:fldSimple>
      <w:r w:rsidR="003A132A" w:rsidRPr="00D23690">
        <w:t xml:space="preserve">.  Le Gouvernement </w:t>
      </w:r>
      <w:r w:rsidR="00905F6B" w:rsidRPr="00D23690">
        <w:t>soutient que la perte des revenus des premier et deuxième requérants est la conséquence de la grande</w:t>
      </w:r>
      <w:r w:rsidR="0059214E" w:rsidRPr="00D23690">
        <w:t xml:space="preserve"> crise écon</w:t>
      </w:r>
      <w:r w:rsidR="00905F6B" w:rsidRPr="00D23690">
        <w:t xml:space="preserve">omique </w:t>
      </w:r>
      <w:r w:rsidR="00B269F8" w:rsidRPr="00D23690">
        <w:t>que connaît la</w:t>
      </w:r>
      <w:r w:rsidR="00905F6B" w:rsidRPr="00D23690">
        <w:t xml:space="preserve"> Grèce. Quant au dommage moral, il estime que le constat de violation constituerait une satisfaction équitable suffisante.</w:t>
      </w:r>
    </w:p>
    <w:p w:rsidR="00EC6427" w:rsidRPr="00D23690" w:rsidRDefault="00F72410" w:rsidP="009E2D52">
      <w:pPr>
        <w:pStyle w:val="ECHRPara"/>
      </w:pPr>
      <w:fldSimple w:instr=" SEQ level0 \*arabic ">
        <w:r w:rsidR="00886CF1">
          <w:rPr>
            <w:noProof/>
          </w:rPr>
          <w:t>62</w:t>
        </w:r>
      </w:fldSimple>
      <w:r w:rsidR="00EC6427" w:rsidRPr="00D23690">
        <w:t xml:space="preserve">.  La Cour </w:t>
      </w:r>
      <w:r w:rsidR="0059214E" w:rsidRPr="00D23690">
        <w:t>rappelle qu</w:t>
      </w:r>
      <w:r>
        <w:t>’</w:t>
      </w:r>
      <w:r w:rsidR="0059214E" w:rsidRPr="00D23690">
        <w:t xml:space="preserve">elle a </w:t>
      </w:r>
      <w:r w:rsidR="00516B41" w:rsidRPr="00D23690">
        <w:t>conclu au seul</w:t>
      </w:r>
      <w:r w:rsidR="000C789D" w:rsidRPr="00D23690">
        <w:t xml:space="preserve"> </w:t>
      </w:r>
      <w:r w:rsidR="0059214E" w:rsidRPr="00D23690">
        <w:t>constat</w:t>
      </w:r>
      <w:r w:rsidR="00516B41" w:rsidRPr="00D23690">
        <w:t xml:space="preserve"> de</w:t>
      </w:r>
      <w:r w:rsidR="0059214E" w:rsidRPr="00D23690">
        <w:t xml:space="preserve"> violation de l</w:t>
      </w:r>
      <w:r>
        <w:t>’</w:t>
      </w:r>
      <w:r w:rsidR="0059214E" w:rsidRPr="00D23690">
        <w:t>article 2 du Protocole n</w:t>
      </w:r>
      <w:r w:rsidR="00D23690" w:rsidRPr="00D23690">
        <w:rPr>
          <w:vertAlign w:val="superscript"/>
        </w:rPr>
        <w:t>o</w:t>
      </w:r>
      <w:r w:rsidR="0059214E" w:rsidRPr="00D23690">
        <w:t xml:space="preserve">1 </w:t>
      </w:r>
      <w:r w:rsidR="000C789D" w:rsidRPr="00D23690">
        <w:t>à la Convention à</w:t>
      </w:r>
      <w:r w:rsidR="0059214E" w:rsidRPr="00D23690">
        <w:t xml:space="preserve"> raison de la longue exclusion des troisième et quatrième requérants de leur école. Elle </w:t>
      </w:r>
      <w:r w:rsidR="00EC6427" w:rsidRPr="00D23690">
        <w:t xml:space="preserve">considère </w:t>
      </w:r>
      <w:r w:rsidR="007769EA" w:rsidRPr="00D23690">
        <w:t xml:space="preserve">par conséquent </w:t>
      </w:r>
      <w:r w:rsidR="00EC6427" w:rsidRPr="00D23690">
        <w:t>qu</w:t>
      </w:r>
      <w:r>
        <w:t>’</w:t>
      </w:r>
      <w:r w:rsidR="00EC6427" w:rsidRPr="00D23690">
        <w:t>il y a lieu d</w:t>
      </w:r>
      <w:r>
        <w:t>’</w:t>
      </w:r>
      <w:r w:rsidR="00EC6427" w:rsidRPr="00D23690">
        <w:t xml:space="preserve">octroyer </w:t>
      </w:r>
      <w:r w:rsidR="00430622" w:rsidRPr="00D23690">
        <w:t xml:space="preserve">aux </w:t>
      </w:r>
      <w:r w:rsidR="001C7C0F" w:rsidRPr="00D23690">
        <w:t xml:space="preserve">deuxième, troisième et quatrième </w:t>
      </w:r>
      <w:r w:rsidR="00430622" w:rsidRPr="00D23690">
        <w:t>requérants</w:t>
      </w:r>
      <w:r w:rsidR="0059214E" w:rsidRPr="00D23690">
        <w:t xml:space="preserve"> </w:t>
      </w:r>
      <w:r w:rsidR="000C789D" w:rsidRPr="00D23690">
        <w:t>la</w:t>
      </w:r>
      <w:r w:rsidR="0059214E" w:rsidRPr="00D23690">
        <w:t xml:space="preserve"> somme globale de 5 000</w:t>
      </w:r>
      <w:r w:rsidR="00EC6427" w:rsidRPr="00D23690">
        <w:t xml:space="preserve"> EUR </w:t>
      </w:r>
      <w:r w:rsidR="000C789D" w:rsidRPr="00D23690">
        <w:t>pour dommage</w:t>
      </w:r>
      <w:r w:rsidR="00EC6427" w:rsidRPr="00D23690">
        <w:t xml:space="preserve"> moral.</w:t>
      </w:r>
    </w:p>
    <w:p w:rsidR="00EC6427" w:rsidRPr="00D23690" w:rsidRDefault="00EC6427" w:rsidP="00B33C50">
      <w:pPr>
        <w:pStyle w:val="ECHRHeading2"/>
        <w:outlineLvl w:val="0"/>
      </w:pPr>
      <w:r w:rsidRPr="00D23690">
        <w:t>B.  Frais et dépens</w:t>
      </w:r>
    </w:p>
    <w:p w:rsidR="00EC6427" w:rsidRPr="00D23690" w:rsidRDefault="00F72410" w:rsidP="009E2D52">
      <w:pPr>
        <w:pStyle w:val="ECHRPara"/>
      </w:pPr>
      <w:fldSimple w:instr=" SEQ level0 \*arabic ">
        <w:r w:rsidR="00886CF1">
          <w:rPr>
            <w:noProof/>
          </w:rPr>
          <w:t>63</w:t>
        </w:r>
      </w:fldSimple>
      <w:r w:rsidR="00EC6427" w:rsidRPr="00D23690">
        <w:t>.  </w:t>
      </w:r>
      <w:r w:rsidR="000C789D" w:rsidRPr="00D23690">
        <w:t>L</w:t>
      </w:r>
      <w:r w:rsidR="00430622" w:rsidRPr="00D23690">
        <w:t>es requérants</w:t>
      </w:r>
      <w:r w:rsidR="004932DA" w:rsidRPr="00D23690">
        <w:t xml:space="preserve"> demande</w:t>
      </w:r>
      <w:r w:rsidR="00430622" w:rsidRPr="00D23690">
        <w:t>nt</w:t>
      </w:r>
      <w:r w:rsidR="003A132A" w:rsidRPr="00D23690">
        <w:t xml:space="preserve"> également 3 920 </w:t>
      </w:r>
      <w:r w:rsidR="00EC6427" w:rsidRPr="00D23690">
        <w:t>EUR</w:t>
      </w:r>
      <w:r w:rsidR="000C789D" w:rsidRPr="00D23690">
        <w:t xml:space="preserve"> </w:t>
      </w:r>
      <w:r w:rsidR="005C7EFD" w:rsidRPr="00D23690">
        <w:t>au titre d</w:t>
      </w:r>
      <w:r w:rsidR="000C789D" w:rsidRPr="00D23690">
        <w:t>es frais et dépens</w:t>
      </w:r>
      <w:r w:rsidR="008E6C45" w:rsidRPr="00D23690">
        <w:t>.</w:t>
      </w:r>
      <w:r w:rsidR="003A132A" w:rsidRPr="00D23690">
        <w:t xml:space="preserve"> Cette somme </w:t>
      </w:r>
      <w:r w:rsidR="000C789D" w:rsidRPr="00D23690">
        <w:t>comprend</w:t>
      </w:r>
      <w:r w:rsidR="003A132A" w:rsidRPr="00D23690">
        <w:t xml:space="preserve"> les honoraires d</w:t>
      </w:r>
      <w:r>
        <w:t>’</w:t>
      </w:r>
      <w:r w:rsidR="003A132A" w:rsidRPr="00D23690">
        <w:t xml:space="preserve">avocat pour la procédure </w:t>
      </w:r>
      <w:r w:rsidR="000C789D" w:rsidRPr="00D23690">
        <w:t xml:space="preserve">engagée </w:t>
      </w:r>
      <w:r w:rsidR="003A132A" w:rsidRPr="00D23690">
        <w:t>devant la Cour</w:t>
      </w:r>
      <w:r w:rsidR="008E6C45" w:rsidRPr="00D23690">
        <w:t xml:space="preserve"> (</w:t>
      </w:r>
      <w:r w:rsidR="008D1313" w:rsidRPr="00D23690">
        <w:t xml:space="preserve">1 840 EUR pour </w:t>
      </w:r>
      <w:r w:rsidR="00CC053B" w:rsidRPr="00D23690">
        <w:t xml:space="preserve">vingt </w:t>
      </w:r>
      <w:r w:rsidR="008E6C45" w:rsidRPr="00D23690">
        <w:t>heures de travail)</w:t>
      </w:r>
      <w:r w:rsidR="003A132A" w:rsidRPr="00D23690">
        <w:t xml:space="preserve">, </w:t>
      </w:r>
      <w:r w:rsidR="00CC053B" w:rsidRPr="00D23690">
        <w:t>ainsi que</w:t>
      </w:r>
      <w:r w:rsidR="003A132A" w:rsidRPr="00D23690">
        <w:t xml:space="preserve"> les frais </w:t>
      </w:r>
      <w:r w:rsidR="00CC053B" w:rsidRPr="00D23690">
        <w:t>exposés</w:t>
      </w:r>
      <w:r w:rsidR="003A132A" w:rsidRPr="00D23690">
        <w:t xml:space="preserve"> </w:t>
      </w:r>
      <w:r w:rsidR="00CD417D" w:rsidRPr="00D23690">
        <w:t xml:space="preserve">par eux </w:t>
      </w:r>
      <w:r w:rsidR="003A132A" w:rsidRPr="00D23690">
        <w:t>à l</w:t>
      </w:r>
      <w:r>
        <w:t>’</w:t>
      </w:r>
      <w:r w:rsidR="003A132A" w:rsidRPr="00D23690">
        <w:t xml:space="preserve">occasion de différentes démarches effectuées </w:t>
      </w:r>
      <w:r w:rsidR="00905F6B" w:rsidRPr="00D23690">
        <w:t>dans les hôpitaux et de</w:t>
      </w:r>
      <w:r w:rsidR="008E6C45" w:rsidRPr="00D23690">
        <w:t xml:space="preserve">vant la commission </w:t>
      </w:r>
      <w:r w:rsidR="00CC053B" w:rsidRPr="00D23690">
        <w:t>instituée par</w:t>
      </w:r>
      <w:r w:rsidR="008E6C45" w:rsidRPr="00D23690">
        <w:t xml:space="preserve"> la loi n</w:t>
      </w:r>
      <w:r w:rsidR="00D23690" w:rsidRPr="00D23690">
        <w:rPr>
          <w:vertAlign w:val="superscript"/>
        </w:rPr>
        <w:t>o</w:t>
      </w:r>
      <w:r w:rsidR="008E6C45" w:rsidRPr="00D23690">
        <w:t> </w:t>
      </w:r>
      <w:r w:rsidR="00905F6B" w:rsidRPr="00D23690">
        <w:t>1137/1981.</w:t>
      </w:r>
    </w:p>
    <w:p w:rsidR="00EC6427" w:rsidRPr="00D23690" w:rsidRDefault="00F72410" w:rsidP="00D23690">
      <w:pPr>
        <w:pStyle w:val="ECHRPara"/>
      </w:pPr>
      <w:fldSimple w:instr=" SEQ level0 \*arabic ">
        <w:r w:rsidR="00886CF1">
          <w:rPr>
            <w:noProof/>
          </w:rPr>
          <w:t>64</w:t>
        </w:r>
      </w:fldSimple>
      <w:r w:rsidR="0059214E" w:rsidRPr="00D23690">
        <w:t xml:space="preserve">.  Le Gouvernement </w:t>
      </w:r>
      <w:r w:rsidR="00ED2682" w:rsidRPr="00D23690">
        <w:t>considère</w:t>
      </w:r>
      <w:r w:rsidR="008E6C45" w:rsidRPr="00D23690">
        <w:t xml:space="preserve"> que le nombre d</w:t>
      </w:r>
      <w:r>
        <w:t>’</w:t>
      </w:r>
      <w:r w:rsidR="008E6C45" w:rsidRPr="00D23690">
        <w:t>heures de travail indiqué est élevé pour ce type d</w:t>
      </w:r>
      <w:r>
        <w:t>’</w:t>
      </w:r>
      <w:r w:rsidR="008E6C45" w:rsidRPr="00D23690">
        <w:t>affaire</w:t>
      </w:r>
      <w:r w:rsidR="00ED2682" w:rsidRPr="00D23690">
        <w:t>s</w:t>
      </w:r>
      <w:r w:rsidR="008E6C45" w:rsidRPr="00D23690">
        <w:t xml:space="preserve"> et </w:t>
      </w:r>
      <w:r w:rsidR="00ED2682" w:rsidRPr="00D23690">
        <w:t>il sou</w:t>
      </w:r>
      <w:r w:rsidR="006A034A" w:rsidRPr="00D23690">
        <w:t>tient</w:t>
      </w:r>
      <w:r w:rsidR="00ED2682" w:rsidRPr="00D23690">
        <w:t xml:space="preserve"> </w:t>
      </w:r>
      <w:r w:rsidR="008E6C45" w:rsidRPr="00D23690">
        <w:t xml:space="preserve">que les requérants ne soumettent </w:t>
      </w:r>
      <w:r w:rsidR="00CC053B" w:rsidRPr="00D23690">
        <w:t>aucun</w:t>
      </w:r>
      <w:r w:rsidR="008E6C45" w:rsidRPr="00D23690">
        <w:t xml:space="preserve"> justificatif.</w:t>
      </w:r>
    </w:p>
    <w:p w:rsidR="00054110" w:rsidRPr="004E5037" w:rsidRDefault="00F72410" w:rsidP="00054110">
      <w:pPr>
        <w:pStyle w:val="ECHRPara"/>
        <w:rPr>
          <w:i/>
        </w:rPr>
      </w:pPr>
      <w:fldSimple w:instr=" SEQ level0 \*arabic ">
        <w:r w:rsidR="00886CF1">
          <w:rPr>
            <w:noProof/>
          </w:rPr>
          <w:t>65</w:t>
        </w:r>
      </w:fldSimple>
      <w:r w:rsidR="00EC6427" w:rsidRPr="00D23690">
        <w:t>.  </w:t>
      </w:r>
      <w:r w:rsidR="00054110" w:rsidRPr="00D23690">
        <w:t>La Cour rappelle que, selon sa jurisprudence, un requérant ne peut obtenir le remboursement de ses frais et dépens que dans la mesure où se trouvent établis leur réalité, leur nécessité et le caractère raisonnable de leur taux. Elle rappelle en outre avoir décidé, dans certains cas, de verser directement la somme allouée pour frais et dépens sur le compte des représentants des requérants (voir, parmi beaucoup d</w:t>
      </w:r>
      <w:r>
        <w:t>’</w:t>
      </w:r>
      <w:r w:rsidR="00054110" w:rsidRPr="00D23690">
        <w:t xml:space="preserve">autres, </w:t>
      </w:r>
      <w:r w:rsidR="00054110" w:rsidRPr="00D23690">
        <w:rPr>
          <w:i/>
        </w:rPr>
        <w:t>Cobzaru c. Roumanie</w:t>
      </w:r>
      <w:r w:rsidR="00054110" w:rsidRPr="00D23690">
        <w:t>, n</w:t>
      </w:r>
      <w:r w:rsidR="00054110" w:rsidRPr="00D23690">
        <w:rPr>
          <w:vertAlign w:val="superscript"/>
        </w:rPr>
        <w:t>o</w:t>
      </w:r>
      <w:r w:rsidR="00054110" w:rsidRPr="00D23690">
        <w:t xml:space="preserve"> 48254/99, 4 mars 2008</w:t>
      </w:r>
      <w:r w:rsidR="00DE015A" w:rsidRPr="00D23690">
        <w:t>,</w:t>
      </w:r>
      <w:r w:rsidR="00054110" w:rsidRPr="00D23690">
        <w:t xml:space="preserve"> </w:t>
      </w:r>
      <w:r w:rsidR="00054110" w:rsidRPr="00D23690">
        <w:rPr>
          <w:i/>
        </w:rPr>
        <w:t>Stoica c. Roumanie</w:t>
      </w:r>
      <w:r w:rsidR="00054110" w:rsidRPr="00D23690">
        <w:t>, n</w:t>
      </w:r>
      <w:r w:rsidR="00054110" w:rsidRPr="00D23690">
        <w:rPr>
          <w:vertAlign w:val="superscript"/>
        </w:rPr>
        <w:t>o</w:t>
      </w:r>
      <w:r w:rsidR="00054110" w:rsidRPr="00D23690">
        <w:t xml:space="preserve"> 42722/02, 16 décembre 2008</w:t>
      </w:r>
      <w:r w:rsidR="00DE015A" w:rsidRPr="00D23690">
        <w:t>,</w:t>
      </w:r>
      <w:r w:rsidR="00054110" w:rsidRPr="00D23690">
        <w:t xml:space="preserve"> </w:t>
      </w:r>
      <w:r w:rsidR="00054110" w:rsidRPr="00D23690">
        <w:rPr>
          <w:i/>
        </w:rPr>
        <w:t>Rupa c. Roumanie</w:t>
      </w:r>
      <w:r w:rsidR="00054110" w:rsidRPr="00D23690">
        <w:t>, n</w:t>
      </w:r>
      <w:r w:rsidR="00054110" w:rsidRPr="00D23690">
        <w:rPr>
          <w:vertAlign w:val="superscript"/>
        </w:rPr>
        <w:t>o</w:t>
      </w:r>
      <w:r w:rsidR="00054110" w:rsidRPr="00D23690">
        <w:t> 58478/00, 2 avril 2009</w:t>
      </w:r>
      <w:r w:rsidR="00DE015A" w:rsidRPr="00D23690">
        <w:t>,</w:t>
      </w:r>
      <w:r w:rsidR="00054110" w:rsidRPr="00D23690">
        <w:t xml:space="preserve"> </w:t>
      </w:r>
      <w:r w:rsidR="00064197" w:rsidRPr="00D23690">
        <w:rPr>
          <w:i/>
        </w:rPr>
        <w:t>Gavril</w:t>
      </w:r>
      <w:r w:rsidR="00064197" w:rsidRPr="00D23690">
        <w:t xml:space="preserve"> </w:t>
      </w:r>
      <w:r w:rsidR="00054110" w:rsidRPr="00D23690">
        <w:rPr>
          <w:i/>
        </w:rPr>
        <w:t>Georgiev c. Bulgarie</w:t>
      </w:r>
      <w:r w:rsidR="00054110" w:rsidRPr="00D23690">
        <w:t>, n</w:t>
      </w:r>
      <w:r w:rsidR="00054110" w:rsidRPr="00D23690">
        <w:rPr>
          <w:vertAlign w:val="superscript"/>
        </w:rPr>
        <w:t>o</w:t>
      </w:r>
      <w:r w:rsidR="00D62110" w:rsidRPr="00D23690">
        <w:rPr>
          <w:vertAlign w:val="superscript"/>
        </w:rPr>
        <w:t> </w:t>
      </w:r>
      <w:r w:rsidR="00054110" w:rsidRPr="00D23690">
        <w:t>31211/03, 2 avril 2009</w:t>
      </w:r>
      <w:r w:rsidR="00DE015A" w:rsidRPr="00D23690">
        <w:t>,</w:t>
      </w:r>
      <w:r w:rsidR="00054110" w:rsidRPr="00D23690">
        <w:t xml:space="preserve"> </w:t>
      </w:r>
      <w:r w:rsidR="00054110" w:rsidRPr="00D23690">
        <w:rPr>
          <w:i/>
        </w:rPr>
        <w:t>Vihos c. Grèce</w:t>
      </w:r>
      <w:r w:rsidR="00054110" w:rsidRPr="00D23690">
        <w:t>, n</w:t>
      </w:r>
      <w:r w:rsidR="00054110" w:rsidRPr="00D23690">
        <w:rPr>
          <w:vertAlign w:val="superscript"/>
        </w:rPr>
        <w:t>o</w:t>
      </w:r>
      <w:r w:rsidR="00054110" w:rsidRPr="00D23690">
        <w:t xml:space="preserve"> 34692/08, 10 février 2011, </w:t>
      </w:r>
      <w:r w:rsidR="00054110" w:rsidRPr="00D23690">
        <w:rPr>
          <w:i/>
        </w:rPr>
        <w:t>Dimitras et autres c. Grèce (n</w:t>
      </w:r>
      <w:r w:rsidR="00054110" w:rsidRPr="00D23690">
        <w:rPr>
          <w:i/>
          <w:vertAlign w:val="superscript"/>
        </w:rPr>
        <w:t>o</w:t>
      </w:r>
      <w:r w:rsidR="00054110" w:rsidRPr="00D23690">
        <w:rPr>
          <w:i/>
        </w:rPr>
        <w:t> 2)</w:t>
      </w:r>
      <w:r w:rsidR="00054110" w:rsidRPr="00D23690">
        <w:t>, n</w:t>
      </w:r>
      <w:r w:rsidR="00660206" w:rsidRPr="00D23690">
        <w:rPr>
          <w:i/>
          <w:vertAlign w:val="superscript"/>
        </w:rPr>
        <w:t>os </w:t>
      </w:r>
      <w:r w:rsidR="00054110" w:rsidRPr="00D23690">
        <w:t>34207/08 et 6365/09, 3 novembre 2011</w:t>
      </w:r>
      <w:r w:rsidR="00DE015A" w:rsidRPr="00D23690">
        <w:t>,</w:t>
      </w:r>
      <w:r w:rsidR="00054110" w:rsidRPr="00D23690">
        <w:t xml:space="preserve"> et</w:t>
      </w:r>
      <w:r w:rsidR="004E5037">
        <w:t xml:space="preserve"> </w:t>
      </w:r>
      <w:r w:rsidR="004E5037" w:rsidRPr="008C335C">
        <w:rPr>
          <w:i/>
        </w:rPr>
        <w:t>Lavida et autres c. Grèce</w:t>
      </w:r>
      <w:r w:rsidR="004E5037" w:rsidRPr="008C335C">
        <w:t>, n</w:t>
      </w:r>
      <w:r w:rsidR="004E5037" w:rsidRPr="008C335C">
        <w:rPr>
          <w:vertAlign w:val="superscript"/>
        </w:rPr>
        <w:t>o</w:t>
      </w:r>
      <w:r w:rsidR="004E5037">
        <w:t> </w:t>
      </w:r>
      <w:r w:rsidR="004E5037" w:rsidRPr="008C335C">
        <w:t>7973/10</w:t>
      </w:r>
      <w:r w:rsidR="004E5037">
        <w:rPr>
          <w:snapToGrid w:val="0"/>
          <w:lang w:val="pt-BR"/>
        </w:rPr>
        <w:t>, 30 mai 2013</w:t>
      </w:r>
      <w:r w:rsidR="00054110" w:rsidRPr="00D23690">
        <w:t>).</w:t>
      </w:r>
    </w:p>
    <w:p w:rsidR="00EC6427" w:rsidRPr="00D23690" w:rsidRDefault="00F72410" w:rsidP="009E2D52">
      <w:pPr>
        <w:pStyle w:val="ECHRPara"/>
      </w:pPr>
      <w:fldSimple w:instr=" SEQ level0 \*arabic ">
        <w:r w:rsidR="00886CF1">
          <w:rPr>
            <w:noProof/>
          </w:rPr>
          <w:t>66</w:t>
        </w:r>
      </w:fldSimple>
      <w:r w:rsidR="000712A3" w:rsidRPr="00D23690">
        <w:t>.  </w:t>
      </w:r>
      <w:r w:rsidR="00D62110" w:rsidRPr="00D23690">
        <w:t>En l</w:t>
      </w:r>
      <w:r>
        <w:t>’</w:t>
      </w:r>
      <w:r w:rsidR="00D62110" w:rsidRPr="00D23690">
        <w:t>espèce, l</w:t>
      </w:r>
      <w:r w:rsidR="00054110" w:rsidRPr="00D23690">
        <w:t>a Cour note qu</w:t>
      </w:r>
      <w:r w:rsidR="00D92EB2" w:rsidRPr="00D23690">
        <w:t>e</w:t>
      </w:r>
      <w:r w:rsidR="00D62110" w:rsidRPr="00D23690">
        <w:t xml:space="preserve"> </w:t>
      </w:r>
      <w:r w:rsidR="00054110" w:rsidRPr="00D23690">
        <w:t>les requérants produisent des accords conclus entre eux et leur avocat, signés par les deux parties et fix</w:t>
      </w:r>
      <w:r w:rsidR="00D62110" w:rsidRPr="00D23690">
        <w:t>a</w:t>
      </w:r>
      <w:r w:rsidR="00054110" w:rsidRPr="00D23690">
        <w:t>nt les conditions de rémunération d</w:t>
      </w:r>
      <w:r w:rsidR="00C3363F" w:rsidRPr="00D23690">
        <w:t>udit</w:t>
      </w:r>
      <w:r w:rsidR="000712A3" w:rsidRPr="00D23690">
        <w:t xml:space="preserve"> </w:t>
      </w:r>
      <w:r w:rsidR="00054110" w:rsidRPr="00D23690">
        <w:t>avocat. Ce dernier produit une liste détaillé</w:t>
      </w:r>
      <w:r w:rsidR="000712A3" w:rsidRPr="00D23690">
        <w:t>e</w:t>
      </w:r>
      <w:r w:rsidR="00054110" w:rsidRPr="00D23690">
        <w:t xml:space="preserve"> des frais </w:t>
      </w:r>
      <w:r w:rsidR="00735F69" w:rsidRPr="00D23690">
        <w:t>exposés</w:t>
      </w:r>
      <w:r w:rsidR="00054110" w:rsidRPr="00D23690">
        <w:t xml:space="preserve"> au stade de différentes procédures. </w:t>
      </w:r>
      <w:r w:rsidR="00735F69" w:rsidRPr="00D23690">
        <w:t xml:space="preserve">Etant donné </w:t>
      </w:r>
      <w:r w:rsidR="00054110" w:rsidRPr="00D23690">
        <w:t>que les démarches indiqué</w:t>
      </w:r>
      <w:r w:rsidR="00735F69" w:rsidRPr="00D23690">
        <w:t>e</w:t>
      </w:r>
      <w:r w:rsidR="00054110" w:rsidRPr="00D23690">
        <w:t xml:space="preserve">s par les requérants dans leur demande </w:t>
      </w:r>
      <w:r w:rsidR="00735F69" w:rsidRPr="00D23690">
        <w:t xml:space="preserve">au titre des </w:t>
      </w:r>
      <w:r w:rsidR="00054110" w:rsidRPr="00D23690">
        <w:t>frais et dépens</w:t>
      </w:r>
      <w:r w:rsidR="00FB5474" w:rsidRPr="00D23690">
        <w:t>, qui avaient été</w:t>
      </w:r>
      <w:r w:rsidR="00054110" w:rsidRPr="00D23690">
        <w:t xml:space="preserve"> entreprises devant les hôpitaux, le directeur de l</w:t>
      </w:r>
      <w:r>
        <w:t>’</w:t>
      </w:r>
      <w:r w:rsidR="00054110" w:rsidRPr="00D23690">
        <w:t>école</w:t>
      </w:r>
      <w:r w:rsidR="000A1988" w:rsidRPr="00D23690">
        <w:t xml:space="preserve"> des </w:t>
      </w:r>
      <w:r w:rsidR="00D62110" w:rsidRPr="00D23690">
        <w:t>requérants mineurs</w:t>
      </w:r>
      <w:r w:rsidR="00054110" w:rsidRPr="00D23690">
        <w:t xml:space="preserve"> et la commission </w:t>
      </w:r>
      <w:r w:rsidR="00735F69" w:rsidRPr="00D23690">
        <w:t>précitée</w:t>
      </w:r>
      <w:r w:rsidR="00FB5474" w:rsidRPr="00D23690">
        <w:t>,</w:t>
      </w:r>
      <w:r w:rsidR="00735F69" w:rsidRPr="00D23690">
        <w:t xml:space="preserve"> </w:t>
      </w:r>
      <w:r w:rsidR="00054110" w:rsidRPr="00D23690">
        <w:t xml:space="preserve">visaient à </w:t>
      </w:r>
      <w:r w:rsidR="000A1988" w:rsidRPr="00D23690">
        <w:t>l</w:t>
      </w:r>
      <w:r>
        <w:t>’</w:t>
      </w:r>
      <w:r w:rsidR="00054110" w:rsidRPr="00D23690">
        <w:t>obten</w:t>
      </w:r>
      <w:r w:rsidR="000A1988" w:rsidRPr="00D23690">
        <w:t>tion de</w:t>
      </w:r>
      <w:r w:rsidR="00054110" w:rsidRPr="00D23690">
        <w:t xml:space="preserve"> la </w:t>
      </w:r>
      <w:r w:rsidR="00D62110" w:rsidRPr="00D23690">
        <w:t>levée</w:t>
      </w:r>
      <w:r w:rsidR="00054110" w:rsidRPr="00D23690">
        <w:t xml:space="preserve"> </w:t>
      </w:r>
      <w:r w:rsidR="000712A3" w:rsidRPr="00D23690">
        <w:t>des mesures restrictives, la Cour estime qu</w:t>
      </w:r>
      <w:r>
        <w:t>’</w:t>
      </w:r>
      <w:r w:rsidR="000712A3" w:rsidRPr="00D23690">
        <w:t xml:space="preserve">elles </w:t>
      </w:r>
      <w:r w:rsidR="000A1988" w:rsidRPr="00D23690">
        <w:t>doivent également</w:t>
      </w:r>
      <w:r w:rsidR="000712A3" w:rsidRPr="00D23690">
        <w:t xml:space="preserve"> donner lieu à remboursement en sus des frais relatifs à la procédure </w:t>
      </w:r>
      <w:r w:rsidR="000A1988" w:rsidRPr="00D23690">
        <w:t xml:space="preserve">engagée </w:t>
      </w:r>
      <w:r w:rsidR="001C7C0F" w:rsidRPr="00D23690">
        <w:t>devant elle. Statuant sur la base des observations produites</w:t>
      </w:r>
      <w:r w:rsidR="000712A3" w:rsidRPr="00D23690">
        <w:t xml:space="preserve">, </w:t>
      </w:r>
      <w:r w:rsidR="00D91932" w:rsidRPr="00D23690">
        <w:t>elle</w:t>
      </w:r>
      <w:r w:rsidR="000712A3" w:rsidRPr="00D23690">
        <w:t xml:space="preserve"> estime raisonnable d</w:t>
      </w:r>
      <w:r>
        <w:t>’</w:t>
      </w:r>
      <w:r w:rsidR="000712A3" w:rsidRPr="00D23690">
        <w:t>accorder conjointement aux requérants la somme de 2</w:t>
      </w:r>
      <w:r w:rsidR="00BC7512" w:rsidRPr="00D23690">
        <w:t> </w:t>
      </w:r>
      <w:r w:rsidR="000712A3" w:rsidRPr="00D23690">
        <w:t>000</w:t>
      </w:r>
      <w:r w:rsidR="00BC7512" w:rsidRPr="00D23690">
        <w:t> </w:t>
      </w:r>
      <w:r w:rsidR="000712A3" w:rsidRPr="00D23690">
        <w:t>EUR, à verser sur le compte bancaire de Me</w:t>
      </w:r>
      <w:r w:rsidR="000A1988" w:rsidRPr="00D23690">
        <w:t> </w:t>
      </w:r>
      <w:r w:rsidR="000712A3" w:rsidRPr="00D23690">
        <w:t>Farmakidis-Markou.</w:t>
      </w:r>
    </w:p>
    <w:p w:rsidR="00EC6427" w:rsidRPr="00D23690" w:rsidRDefault="00EC6427" w:rsidP="00B33C50">
      <w:pPr>
        <w:pStyle w:val="ECHRHeading2"/>
        <w:outlineLvl w:val="0"/>
      </w:pPr>
      <w:r w:rsidRPr="00D23690">
        <w:t>C.  Intérêts moratoires</w:t>
      </w:r>
    </w:p>
    <w:p w:rsidR="00EC6427" w:rsidRPr="00D23690" w:rsidRDefault="00F72410" w:rsidP="00922F45">
      <w:pPr>
        <w:pStyle w:val="ECHRPara"/>
      </w:pPr>
      <w:fldSimple w:instr=" SEQ level0 \*arabic ">
        <w:r w:rsidR="00886CF1">
          <w:rPr>
            <w:noProof/>
          </w:rPr>
          <w:t>67</w:t>
        </w:r>
      </w:fldSimple>
      <w:r w:rsidR="00EC6427" w:rsidRPr="00D23690">
        <w:t xml:space="preserve">.  La Cour juge approprié de </w:t>
      </w:r>
      <w:r w:rsidR="0053642D" w:rsidRPr="00D23690">
        <w:t>calquer</w:t>
      </w:r>
      <w:r w:rsidR="00EC6427" w:rsidRPr="00D23690">
        <w:t xml:space="preserve"> le taux des intérêts moratoires sur le taux d</w:t>
      </w:r>
      <w:r>
        <w:t>’</w:t>
      </w:r>
      <w:r w:rsidR="00EC6427" w:rsidRPr="00D23690">
        <w:t>intérêt de la facilité de prêt marginal de la Banque centrale européenne majoré de trois points de pourcentage.</w:t>
      </w:r>
    </w:p>
    <w:p w:rsidR="00EC6427" w:rsidRPr="00D23690" w:rsidRDefault="00DD02DA" w:rsidP="00886CF1">
      <w:pPr>
        <w:pStyle w:val="ECHRTitle1"/>
      </w:pPr>
      <w:r>
        <w:t>PAR CES MOTIFS, LA COUR</w:t>
      </w:r>
      <w:r w:rsidR="00430622" w:rsidRPr="00D23690">
        <w:t>, À L</w:t>
      </w:r>
      <w:r w:rsidR="00F72410">
        <w:t>’</w:t>
      </w:r>
      <w:r w:rsidR="00430622" w:rsidRPr="00D23690">
        <w:t>UNANIMITÉ,</w:t>
      </w:r>
    </w:p>
    <w:p w:rsidR="00F72410" w:rsidRDefault="00336759" w:rsidP="00886CF1">
      <w:pPr>
        <w:pStyle w:val="JuList"/>
        <w:keepNext/>
        <w:keepLines/>
      </w:pPr>
      <w:r w:rsidRPr="00D23690">
        <w:t>1</w:t>
      </w:r>
      <w:r w:rsidR="00E168C6" w:rsidRPr="00D23690">
        <w:t>.  </w:t>
      </w:r>
      <w:r w:rsidR="00EC6427" w:rsidRPr="00D23690">
        <w:rPr>
          <w:i/>
        </w:rPr>
        <w:t>Déclare</w:t>
      </w:r>
      <w:r w:rsidR="00430622" w:rsidRPr="00D23690">
        <w:t xml:space="preserve"> la requête recevable</w:t>
      </w:r>
      <w:r w:rsidR="00EC6427" w:rsidRPr="00D23690">
        <w:t xml:space="preserve"> quant aux griefs tirés de </w:t>
      </w:r>
      <w:r w:rsidRPr="00D23690">
        <w:t>l</w:t>
      </w:r>
      <w:r w:rsidR="00F72410">
        <w:t>’</w:t>
      </w:r>
      <w:r w:rsidRPr="00D23690">
        <w:t>article 2 du Protocole n</w:t>
      </w:r>
      <w:r w:rsidR="00D23690" w:rsidRPr="00D23690">
        <w:rPr>
          <w:vertAlign w:val="superscript"/>
        </w:rPr>
        <w:t>o</w:t>
      </w:r>
      <w:r w:rsidRPr="00D23690">
        <w:t xml:space="preserve"> 1</w:t>
      </w:r>
      <w:r w:rsidR="000A1988" w:rsidRPr="00D23690">
        <w:t xml:space="preserve"> à la Convention</w:t>
      </w:r>
      <w:r w:rsidRPr="00D23690">
        <w:t>, pris isolément et combiné avec l</w:t>
      </w:r>
      <w:r w:rsidR="00F72410">
        <w:t>’</w:t>
      </w:r>
      <w:r w:rsidRPr="00D23690">
        <w:t>article</w:t>
      </w:r>
      <w:r w:rsidR="00886CF1">
        <w:t> </w:t>
      </w:r>
      <w:r w:rsidRPr="00D23690">
        <w:t>13 de la Convention</w:t>
      </w:r>
      <w:r w:rsidR="00263560" w:rsidRPr="00D23690">
        <w:t>,</w:t>
      </w:r>
      <w:r w:rsidRPr="00D23690">
        <w:t xml:space="preserve"> </w:t>
      </w:r>
      <w:r w:rsidR="00EC6427" w:rsidRPr="00D23690">
        <w:t xml:space="preserve">et </w:t>
      </w:r>
      <w:r w:rsidR="00430622" w:rsidRPr="00D23690">
        <w:t>irrecevable</w:t>
      </w:r>
      <w:r w:rsidR="00EC6427" w:rsidRPr="00D23690">
        <w:t xml:space="preserve"> pour le surplus ;</w:t>
      </w:r>
    </w:p>
    <w:p w:rsidR="00EC6427" w:rsidRPr="00D23690" w:rsidRDefault="00EC6427" w:rsidP="00886CF1">
      <w:pPr>
        <w:pStyle w:val="JuList"/>
        <w:keepNext/>
        <w:keepLines/>
      </w:pPr>
    </w:p>
    <w:p w:rsidR="00EC6427" w:rsidRPr="00D23690" w:rsidRDefault="00336759" w:rsidP="00886CF1">
      <w:pPr>
        <w:pStyle w:val="JuList"/>
        <w:keepNext/>
        <w:keepLines/>
      </w:pPr>
      <w:r w:rsidRPr="00D23690">
        <w:t>2</w:t>
      </w:r>
      <w:r w:rsidR="00E168C6" w:rsidRPr="00D23690">
        <w:t>.  </w:t>
      </w:r>
      <w:r w:rsidR="00D65AB3" w:rsidRPr="00D23690">
        <w:rPr>
          <w:i/>
        </w:rPr>
        <w:t>Dit</w:t>
      </w:r>
      <w:r w:rsidR="00D65AB3" w:rsidRPr="00D23690">
        <w:t xml:space="preserve"> </w:t>
      </w:r>
      <w:r w:rsidR="00EC6427" w:rsidRPr="00D23690">
        <w:t>qu</w:t>
      </w:r>
      <w:r w:rsidR="00F72410">
        <w:t>’</w:t>
      </w:r>
      <w:r w:rsidR="00EC6427" w:rsidRPr="00D23690">
        <w:t>il y a eu violation de l</w:t>
      </w:r>
      <w:r w:rsidR="00F72410">
        <w:t>’</w:t>
      </w:r>
      <w:r w:rsidR="00EC6427" w:rsidRPr="00D23690">
        <w:t xml:space="preserve">article </w:t>
      </w:r>
      <w:r w:rsidRPr="00D23690">
        <w:t>2 du Protocole n</w:t>
      </w:r>
      <w:r w:rsidR="00D23690" w:rsidRPr="00D23690">
        <w:rPr>
          <w:vertAlign w:val="superscript"/>
        </w:rPr>
        <w:t>o</w:t>
      </w:r>
      <w:r w:rsidRPr="00D23690">
        <w:t xml:space="preserve"> 1</w:t>
      </w:r>
      <w:r w:rsidR="00EC6427" w:rsidRPr="00D23690">
        <w:t xml:space="preserve"> </w:t>
      </w:r>
      <w:r w:rsidR="000A1988" w:rsidRPr="00D23690">
        <w:t>à</w:t>
      </w:r>
      <w:r w:rsidR="00EC6427" w:rsidRPr="00D23690">
        <w:t xml:space="preserve"> la Convention ;</w:t>
      </w:r>
    </w:p>
    <w:p w:rsidR="00EC6427" w:rsidRPr="00D23690" w:rsidRDefault="00EC6427" w:rsidP="00886CF1">
      <w:pPr>
        <w:pStyle w:val="JuList"/>
        <w:keepNext/>
        <w:keepLines/>
      </w:pPr>
    </w:p>
    <w:p w:rsidR="00EC6427" w:rsidRPr="00D23690" w:rsidRDefault="00336759">
      <w:pPr>
        <w:pStyle w:val="JuList"/>
      </w:pPr>
      <w:r w:rsidRPr="00D23690">
        <w:t>3</w:t>
      </w:r>
      <w:r w:rsidR="00EC6427" w:rsidRPr="00D23690">
        <w:t>.  </w:t>
      </w:r>
      <w:r w:rsidR="00EC6427" w:rsidRPr="00D23690">
        <w:rPr>
          <w:i/>
        </w:rPr>
        <w:t>Dit</w:t>
      </w:r>
      <w:r w:rsidR="00EC6427" w:rsidRPr="00D23690">
        <w:t xml:space="preserve"> qu</w:t>
      </w:r>
      <w:r w:rsidR="00F72410">
        <w:t>’</w:t>
      </w:r>
      <w:r w:rsidR="00EC6427" w:rsidRPr="00D23690">
        <w:t>il n</w:t>
      </w:r>
      <w:r w:rsidR="00F72410">
        <w:t>’</w:t>
      </w:r>
      <w:r w:rsidR="00EC6427" w:rsidRPr="00D23690">
        <w:t>y a pas lieu d</w:t>
      </w:r>
      <w:r w:rsidR="00F72410">
        <w:t>’</w:t>
      </w:r>
      <w:r w:rsidR="00EC6427" w:rsidRPr="00D23690">
        <w:t>examiner le grief tiré de l</w:t>
      </w:r>
      <w:r w:rsidR="00F72410">
        <w:t>’</w:t>
      </w:r>
      <w:r w:rsidR="00EC6427" w:rsidRPr="00D23690">
        <w:t xml:space="preserve">article </w:t>
      </w:r>
      <w:r w:rsidRPr="00D23690">
        <w:t>2 du Protocole n</w:t>
      </w:r>
      <w:r w:rsidR="00D23690" w:rsidRPr="00D23690">
        <w:rPr>
          <w:vertAlign w:val="superscript"/>
        </w:rPr>
        <w:t>o</w:t>
      </w:r>
      <w:r w:rsidRPr="00D23690">
        <w:t xml:space="preserve"> 1 </w:t>
      </w:r>
      <w:r w:rsidR="000A1988" w:rsidRPr="00D23690">
        <w:t xml:space="preserve">à la Convention </w:t>
      </w:r>
      <w:r w:rsidRPr="00D23690">
        <w:t>combiné avec l</w:t>
      </w:r>
      <w:r w:rsidR="00F72410">
        <w:t>’</w:t>
      </w:r>
      <w:r w:rsidRPr="00D23690">
        <w:t>article 13</w:t>
      </w:r>
      <w:r w:rsidR="00EC6427" w:rsidRPr="00D23690">
        <w:t xml:space="preserve"> de la Convention ;</w:t>
      </w:r>
    </w:p>
    <w:p w:rsidR="00EC6427" w:rsidRPr="00D23690" w:rsidRDefault="00EC6427">
      <w:pPr>
        <w:pStyle w:val="JuList"/>
      </w:pPr>
    </w:p>
    <w:p w:rsidR="00F72410" w:rsidRDefault="00263560">
      <w:pPr>
        <w:pStyle w:val="JuList"/>
      </w:pPr>
      <w:r w:rsidRPr="00D23690">
        <w:t>4</w:t>
      </w:r>
      <w:r w:rsidR="00EC6427" w:rsidRPr="00D23690">
        <w:t>.  </w:t>
      </w:r>
      <w:r w:rsidR="00EC6427" w:rsidRPr="00D23690">
        <w:rPr>
          <w:i/>
        </w:rPr>
        <w:t>Dit</w:t>
      </w:r>
    </w:p>
    <w:p w:rsidR="0029723C" w:rsidRPr="00D23690" w:rsidRDefault="00EC6427" w:rsidP="009E2D52">
      <w:pPr>
        <w:pStyle w:val="JuLista"/>
      </w:pPr>
      <w:r w:rsidRPr="00D23690">
        <w:t>a)  que l</w:t>
      </w:r>
      <w:r w:rsidR="00F72410">
        <w:t>’</w:t>
      </w:r>
      <w:r w:rsidRPr="00D23690">
        <w:t xml:space="preserve">Etat défendeur doit verser </w:t>
      </w:r>
      <w:r w:rsidR="00430622" w:rsidRPr="00D23690">
        <w:t xml:space="preserve">aux </w:t>
      </w:r>
      <w:r w:rsidR="001C7C0F" w:rsidRPr="00D23690">
        <w:t xml:space="preserve">deuxième, troisième et quatrième </w:t>
      </w:r>
      <w:r w:rsidR="00430622" w:rsidRPr="00D23690">
        <w:t>requérants</w:t>
      </w:r>
      <w:r w:rsidRPr="00D23690">
        <w:t>, dans les trois mois</w:t>
      </w:r>
      <w:r w:rsidR="000712A3" w:rsidRPr="00D23690">
        <w:t xml:space="preserve">, </w:t>
      </w:r>
      <w:r w:rsidR="00430622" w:rsidRPr="00D23690">
        <w:t>à compter du jour où l</w:t>
      </w:r>
      <w:r w:rsidR="00F72410">
        <w:t>’</w:t>
      </w:r>
      <w:r w:rsidR="00430622" w:rsidRPr="00D23690">
        <w:t>arrêt sera devenu définitif conformément à l</w:t>
      </w:r>
      <w:r w:rsidR="00F72410">
        <w:t>’</w:t>
      </w:r>
      <w:r w:rsidR="00430622" w:rsidRPr="00D23690">
        <w:t>article 44 § 2 de la Convention</w:t>
      </w:r>
      <w:r w:rsidRPr="00D23690">
        <w:t xml:space="preserve">, </w:t>
      </w:r>
      <w:r w:rsidR="0029723C" w:rsidRPr="00D23690">
        <w:t>les sommes suivantes</w:t>
      </w:r>
      <w:r w:rsidR="000712A3" w:rsidRPr="00D23690">
        <w:t> :</w:t>
      </w:r>
    </w:p>
    <w:p w:rsidR="0029723C" w:rsidRPr="00D23690" w:rsidRDefault="0029723C" w:rsidP="00CE3E62">
      <w:pPr>
        <w:pStyle w:val="JuListi"/>
        <w:rPr>
          <w:lang w:eastAsia="en-GB"/>
        </w:rPr>
      </w:pPr>
      <w:r w:rsidRPr="00D23690">
        <w:rPr>
          <w:lang w:eastAsia="en-GB"/>
        </w:rPr>
        <w:t>i</w:t>
      </w:r>
      <w:r w:rsidR="000A1988" w:rsidRPr="00D23690">
        <w:rPr>
          <w:lang w:eastAsia="en-GB"/>
        </w:rPr>
        <w:t>.</w:t>
      </w:r>
      <w:r w:rsidRPr="00D23690">
        <w:rPr>
          <w:lang w:eastAsia="en-GB"/>
        </w:rPr>
        <w:t>  </w:t>
      </w:r>
      <w:r w:rsidR="00FA6BFB" w:rsidRPr="00D23690">
        <w:rPr>
          <w:lang w:eastAsia="en-GB"/>
        </w:rPr>
        <w:t>5 000</w:t>
      </w:r>
      <w:r w:rsidRPr="00D23690">
        <w:rPr>
          <w:lang w:eastAsia="en-GB"/>
        </w:rPr>
        <w:t xml:space="preserve"> EUR (</w:t>
      </w:r>
      <w:r w:rsidR="00FA6BFB" w:rsidRPr="00D23690">
        <w:rPr>
          <w:lang w:eastAsia="en-GB"/>
        </w:rPr>
        <w:t>cinq mille</w:t>
      </w:r>
      <w:r w:rsidRPr="00D23690">
        <w:rPr>
          <w:lang w:eastAsia="en-GB"/>
        </w:rPr>
        <w:t xml:space="preserve"> euros), plus tout montant pouvant être dû à titre d</w:t>
      </w:r>
      <w:r w:rsidR="00F72410">
        <w:rPr>
          <w:lang w:eastAsia="en-GB"/>
        </w:rPr>
        <w:t>’</w:t>
      </w:r>
      <w:r w:rsidRPr="00D23690">
        <w:rPr>
          <w:lang w:eastAsia="en-GB"/>
        </w:rPr>
        <w:t>impôt, pour dommage moral</w:t>
      </w:r>
      <w:r w:rsidR="000A1988" w:rsidRPr="00D23690">
        <w:rPr>
          <w:lang w:eastAsia="en-GB"/>
        </w:rPr>
        <w:t>,</w:t>
      </w:r>
    </w:p>
    <w:p w:rsidR="0029723C" w:rsidRPr="00D23690" w:rsidRDefault="0029723C" w:rsidP="00CE3E62">
      <w:pPr>
        <w:pStyle w:val="JuListi"/>
        <w:rPr>
          <w:lang w:eastAsia="en-GB"/>
        </w:rPr>
      </w:pPr>
      <w:r w:rsidRPr="00D23690">
        <w:rPr>
          <w:lang w:eastAsia="en-GB"/>
        </w:rPr>
        <w:t>ii</w:t>
      </w:r>
      <w:r w:rsidR="000A1988" w:rsidRPr="00D23690">
        <w:rPr>
          <w:lang w:eastAsia="en-GB"/>
        </w:rPr>
        <w:t>.</w:t>
      </w:r>
      <w:r w:rsidRPr="00D23690">
        <w:rPr>
          <w:lang w:eastAsia="en-GB"/>
        </w:rPr>
        <w:t>  </w:t>
      </w:r>
      <w:r w:rsidR="00FA6BFB" w:rsidRPr="00D23690">
        <w:rPr>
          <w:lang w:eastAsia="en-GB"/>
        </w:rPr>
        <w:t>2 000</w:t>
      </w:r>
      <w:r w:rsidRPr="00D23690">
        <w:rPr>
          <w:lang w:eastAsia="en-GB"/>
        </w:rPr>
        <w:t xml:space="preserve"> EUR (</w:t>
      </w:r>
      <w:r w:rsidR="00FA6BFB" w:rsidRPr="00D23690">
        <w:rPr>
          <w:lang w:eastAsia="en-GB"/>
        </w:rPr>
        <w:t>deux mille</w:t>
      </w:r>
      <w:r w:rsidRPr="00D23690">
        <w:rPr>
          <w:lang w:eastAsia="en-GB"/>
        </w:rPr>
        <w:t xml:space="preserve"> euros), plus tout montant pouvant être dû à titre d</w:t>
      </w:r>
      <w:r w:rsidR="00F72410">
        <w:rPr>
          <w:lang w:eastAsia="en-GB"/>
        </w:rPr>
        <w:t>’</w:t>
      </w:r>
      <w:r w:rsidRPr="00D23690">
        <w:rPr>
          <w:lang w:eastAsia="en-GB"/>
        </w:rPr>
        <w:t>impôt par le</w:t>
      </w:r>
      <w:r w:rsidR="00826B77" w:rsidRPr="00D23690">
        <w:rPr>
          <w:lang w:eastAsia="en-GB"/>
        </w:rPr>
        <w:t>s</w:t>
      </w:r>
      <w:r w:rsidRPr="00D23690">
        <w:rPr>
          <w:lang w:eastAsia="en-GB"/>
        </w:rPr>
        <w:t xml:space="preserve"> requérant</w:t>
      </w:r>
      <w:r w:rsidR="00826B77" w:rsidRPr="00D23690">
        <w:rPr>
          <w:lang w:eastAsia="en-GB"/>
        </w:rPr>
        <w:t>s</w:t>
      </w:r>
      <w:r w:rsidRPr="00D23690">
        <w:rPr>
          <w:lang w:eastAsia="en-GB"/>
        </w:rPr>
        <w:t>, pour frais et dépens</w:t>
      </w:r>
      <w:r w:rsidR="00037225" w:rsidRPr="00D23690">
        <w:rPr>
          <w:lang w:eastAsia="en-GB"/>
        </w:rPr>
        <w:t>, à verser sur le compte bancaire de leur représentant</w:t>
      </w:r>
      <w:r w:rsidR="000A1988" w:rsidRPr="00D23690">
        <w:rPr>
          <w:lang w:eastAsia="en-GB"/>
        </w:rPr>
        <w:t>,</w:t>
      </w:r>
    </w:p>
    <w:p w:rsidR="00EC6427" w:rsidRPr="00D23690" w:rsidRDefault="00EC6427">
      <w:pPr>
        <w:pStyle w:val="JuLista"/>
      </w:pPr>
      <w:r w:rsidRPr="00D23690">
        <w:t>b)  qu</w:t>
      </w:r>
      <w:r w:rsidR="00F72410">
        <w:t>’</w:t>
      </w:r>
      <w:r w:rsidRPr="00D23690">
        <w:t>à compter de l</w:t>
      </w:r>
      <w:r w:rsidR="00F72410">
        <w:t>’</w:t>
      </w:r>
      <w:r w:rsidRPr="00D23690">
        <w:t>expiration dudit délai et jusqu</w:t>
      </w:r>
      <w:r w:rsidR="00F72410">
        <w:t>’</w:t>
      </w:r>
      <w:r w:rsidRPr="00D23690">
        <w:t>au versement, ces montan</w:t>
      </w:r>
      <w:r w:rsidR="0029723C" w:rsidRPr="00D23690">
        <w:t>t</w:t>
      </w:r>
      <w:r w:rsidRPr="00D23690">
        <w:t>s</w:t>
      </w:r>
      <w:r w:rsidR="0029723C" w:rsidRPr="00D23690">
        <w:t xml:space="preserve"> ser</w:t>
      </w:r>
      <w:r w:rsidRPr="00D23690">
        <w:t>ont à majorer d</w:t>
      </w:r>
      <w:r w:rsidR="00F72410">
        <w:t>’</w:t>
      </w:r>
      <w:r w:rsidRPr="00D23690">
        <w:t>un intérêt simple à un taux égal à celui de la facilité de prêt marginal de la Banque centrale européenne applicable pendant cette pé</w:t>
      </w:r>
      <w:r w:rsidR="00C561B1" w:rsidRPr="00D23690">
        <w:t>rio</w:t>
      </w:r>
      <w:r w:rsidRPr="00D23690">
        <w:t>de, augmenté de trois points de pourcentage ;</w:t>
      </w:r>
    </w:p>
    <w:p w:rsidR="00EC6427" w:rsidRPr="00D23690" w:rsidRDefault="00EC6427">
      <w:pPr>
        <w:pStyle w:val="JuLista"/>
      </w:pPr>
    </w:p>
    <w:p w:rsidR="00EC6427" w:rsidRPr="00D23690" w:rsidRDefault="000712A3">
      <w:pPr>
        <w:pStyle w:val="JuList"/>
      </w:pPr>
      <w:r w:rsidRPr="00D23690">
        <w:t>5</w:t>
      </w:r>
      <w:r w:rsidR="00EC6427" w:rsidRPr="00D23690">
        <w:t>.  </w:t>
      </w:r>
      <w:r w:rsidR="00EC6427" w:rsidRPr="00D23690">
        <w:rPr>
          <w:i/>
        </w:rPr>
        <w:t>Rejette</w:t>
      </w:r>
      <w:r w:rsidR="00EC6427" w:rsidRPr="00D23690">
        <w:t xml:space="preserve"> la demande de satisfaction équitable pour le surplus.</w:t>
      </w:r>
    </w:p>
    <w:p w:rsidR="00560B55" w:rsidRPr="00D23690" w:rsidRDefault="00EC6427" w:rsidP="00560B55">
      <w:pPr>
        <w:pStyle w:val="JuParaLast"/>
      </w:pPr>
      <w:r w:rsidRPr="00D23690">
        <w:t>Fait en françai</w:t>
      </w:r>
      <w:r w:rsidR="00886CF1">
        <w:t>s,</w:t>
      </w:r>
      <w:r w:rsidR="00F72410">
        <w:t xml:space="preserve"> puis communiqué par écrit le 6 </w:t>
      </w:r>
      <w:r w:rsidR="00DD02DA">
        <w:t>octobre 2015</w:t>
      </w:r>
      <w:r w:rsidR="0053642D" w:rsidRPr="00D23690">
        <w:t>,</w:t>
      </w:r>
      <w:r w:rsidRPr="00D23690">
        <w:t xml:space="preserve"> en application de l</w:t>
      </w:r>
      <w:r w:rsidR="00F72410">
        <w:t>’</w:t>
      </w:r>
      <w:r w:rsidRPr="00D23690">
        <w:t>article 77 §§ 2 et 3 du règlement</w:t>
      </w:r>
      <w:r w:rsidR="009B481D" w:rsidRPr="00D23690">
        <w:t xml:space="preserve"> de la Cour</w:t>
      </w:r>
      <w:r w:rsidRPr="00D23690">
        <w:t>.</w:t>
      </w:r>
    </w:p>
    <w:p w:rsidR="00EC6427" w:rsidRDefault="00430622" w:rsidP="0009234F">
      <w:pPr>
        <w:pStyle w:val="JuSigned"/>
        <w:keepNext/>
        <w:keepLines/>
        <w:rPr>
          <w:lang w:val="de-DE"/>
        </w:rPr>
      </w:pPr>
      <w:r w:rsidRPr="00D23690">
        <w:tab/>
      </w:r>
      <w:r w:rsidRPr="00DD02DA">
        <w:rPr>
          <w:lang w:val="de-DE"/>
        </w:rPr>
        <w:t>Søren Nielsen</w:t>
      </w:r>
      <w:r w:rsidR="004C7DF5" w:rsidRPr="00DD02DA">
        <w:rPr>
          <w:lang w:val="de-DE"/>
        </w:rPr>
        <w:tab/>
      </w:r>
      <w:r w:rsidR="00DD02DA" w:rsidRPr="00DD02DA">
        <w:rPr>
          <w:szCs w:val="24"/>
          <w:lang w:val="de-DE"/>
        </w:rPr>
        <w:t>Andr</w:t>
      </w:r>
      <w:r w:rsidR="00DD02DA" w:rsidRPr="00DD02DA">
        <w:rPr>
          <w:rFonts w:cstheme="minorHAnsi"/>
          <w:szCs w:val="24"/>
          <w:lang w:val="de-DE"/>
        </w:rPr>
        <w:t>á</w:t>
      </w:r>
      <w:r w:rsidR="00DD02DA" w:rsidRPr="00DD02DA">
        <w:rPr>
          <w:szCs w:val="24"/>
          <w:lang w:val="de-DE"/>
        </w:rPr>
        <w:t>s Saj</w:t>
      </w:r>
      <w:r w:rsidR="00DD02DA" w:rsidRPr="00DD02DA">
        <w:rPr>
          <w:rFonts w:cstheme="minorHAnsi"/>
          <w:szCs w:val="24"/>
          <w:lang w:val="de-DE"/>
        </w:rPr>
        <w:t>ó</w:t>
      </w:r>
      <w:r w:rsidR="004C7DF5" w:rsidRPr="00DD02DA">
        <w:rPr>
          <w:lang w:val="de-DE"/>
        </w:rPr>
        <w:br/>
      </w:r>
      <w:r w:rsidR="004C7DF5" w:rsidRPr="00DD02DA">
        <w:rPr>
          <w:lang w:val="de-DE"/>
        </w:rPr>
        <w:tab/>
      </w:r>
      <w:r w:rsidRPr="00DD02DA">
        <w:rPr>
          <w:lang w:val="de-DE"/>
        </w:rPr>
        <w:t>Greffier</w:t>
      </w:r>
      <w:r w:rsidR="004C7DF5" w:rsidRPr="00DD02DA">
        <w:rPr>
          <w:lang w:val="de-DE"/>
        </w:rPr>
        <w:tab/>
      </w:r>
      <w:r w:rsidR="00DD02DA" w:rsidRPr="00DD02DA">
        <w:rPr>
          <w:lang w:val="de-DE"/>
        </w:rPr>
        <w:t>Président</w:t>
      </w:r>
    </w:p>
    <w:p w:rsidR="00F72410" w:rsidRPr="00F72410" w:rsidRDefault="00F72410" w:rsidP="00F72410">
      <w:pPr>
        <w:pStyle w:val="JuParaLast"/>
        <w:rPr>
          <w:lang w:val="de-DE"/>
        </w:rPr>
      </w:pPr>
    </w:p>
    <w:sectPr w:rsidR="00F72410" w:rsidRPr="00F72410" w:rsidSect="00D23690">
      <w:headerReference w:type="even" r:id="rId14"/>
      <w:headerReference w:type="default" r:id="rId15"/>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90" w:rsidRDefault="00D23690">
      <w:r>
        <w:separator/>
      </w:r>
    </w:p>
  </w:endnote>
  <w:endnote w:type="continuationSeparator" w:id="0">
    <w:p w:rsidR="00D23690" w:rsidRDefault="00D2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0" w:rsidRDefault="00D23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0" w:rsidRDefault="00D23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0" w:rsidRPr="00150BFA" w:rsidRDefault="00D23690" w:rsidP="00D23690">
    <w:pPr>
      <w:jc w:val="center"/>
    </w:pPr>
    <w:r>
      <w:rPr>
        <w:noProof/>
        <w:lang w:eastAsia="ja-JP"/>
      </w:rPr>
      <w:drawing>
        <wp:inline distT="0" distB="0" distL="0" distR="0" wp14:anchorId="762A3F2E" wp14:editId="4DC6ACCA">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23690" w:rsidRDefault="00D2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90" w:rsidRDefault="00D23690">
      <w:r>
        <w:separator/>
      </w:r>
    </w:p>
  </w:footnote>
  <w:footnote w:type="continuationSeparator" w:id="0">
    <w:p w:rsidR="00D23690" w:rsidRDefault="00D23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0" w:rsidRDefault="00D23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0" w:rsidRPr="00D23690" w:rsidRDefault="00D23690" w:rsidP="00D2369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0" w:rsidRPr="00A45145" w:rsidRDefault="00D23690" w:rsidP="00D23690">
    <w:pPr>
      <w:jc w:val="center"/>
    </w:pPr>
    <w:r>
      <w:rPr>
        <w:noProof/>
        <w:lang w:eastAsia="ja-JP"/>
      </w:rPr>
      <w:drawing>
        <wp:inline distT="0" distB="0" distL="0" distR="0" wp14:anchorId="1568B8BD" wp14:editId="6D83D90A">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23690" w:rsidRDefault="00D23690" w:rsidP="00946BFB">
    <w:pPr>
      <w:pStyle w:val="ECH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0" w:rsidRPr="00DE593D" w:rsidRDefault="00D23690" w:rsidP="00946BFB">
    <w:pPr>
      <w:pStyle w:val="ECHRHeader"/>
    </w:pPr>
    <w:r>
      <w:rPr>
        <w:rStyle w:val="PageNumber"/>
      </w:rPr>
      <w:fldChar w:fldCharType="begin"/>
    </w:r>
    <w:r>
      <w:rPr>
        <w:rStyle w:val="PageNumber"/>
      </w:rPr>
      <w:instrText xml:space="preserve"> PAGE </w:instrText>
    </w:r>
    <w:r>
      <w:rPr>
        <w:rStyle w:val="PageNumber"/>
      </w:rPr>
      <w:fldChar w:fldCharType="separate"/>
    </w:r>
    <w:r w:rsidR="00F72410">
      <w:rPr>
        <w:rStyle w:val="PageNumber"/>
        <w:noProof/>
      </w:rPr>
      <w:t>18</w:t>
    </w:r>
    <w:r>
      <w:rPr>
        <w:rStyle w:val="PageNumber"/>
      </w:rPr>
      <w:fldChar w:fldCharType="end"/>
    </w:r>
    <w:r w:rsidRPr="00DE593D">
      <w:rPr>
        <w:rStyle w:val="PageNumber"/>
      </w:rPr>
      <w:tab/>
    </w:r>
    <w:r>
      <w:rPr>
        <w:noProof/>
        <w:lang w:val="en-GB"/>
      </w:rPr>
      <w:t>ARRÊT</w:t>
    </w:r>
    <w:r w:rsidRPr="00DE593D">
      <w:t xml:space="preserve"> </w:t>
    </w:r>
    <w:r>
      <w:t>MEMLIKA c. GRÈCE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90" w:rsidRPr="00DE593D" w:rsidRDefault="00D23690" w:rsidP="00946BFB">
    <w:pPr>
      <w:pStyle w:val="ECHRHeader"/>
    </w:pPr>
    <w:r>
      <w:tab/>
    </w:r>
    <w:r>
      <w:rPr>
        <w:noProof/>
        <w:lang w:val="en-GB"/>
      </w:rPr>
      <w:t>ARRÊT</w:t>
    </w:r>
    <w:r w:rsidRPr="00DE593D">
      <w:t xml:space="preserve"> </w:t>
    </w:r>
    <w:r>
      <w:t>MEMLIKA c. GRÈCE</w:t>
    </w:r>
    <w:r w:rsidRPr="00DE593D">
      <w:tab/>
    </w:r>
    <w:r>
      <w:rPr>
        <w:rStyle w:val="PageNumber"/>
      </w:rPr>
      <w:fldChar w:fldCharType="begin"/>
    </w:r>
    <w:r>
      <w:rPr>
        <w:rStyle w:val="PageNumber"/>
      </w:rPr>
      <w:instrText xml:space="preserve"> PAGE </w:instrText>
    </w:r>
    <w:r>
      <w:rPr>
        <w:rStyle w:val="PageNumber"/>
      </w:rPr>
      <w:fldChar w:fldCharType="separate"/>
    </w:r>
    <w:r w:rsidR="00F72410">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5"/>
  </w:num>
  <w:num w:numId="3">
    <w:abstractNumId w:val="21"/>
  </w:num>
  <w:num w:numId="4">
    <w:abstractNumId w:val="10"/>
  </w:num>
  <w:num w:numId="5">
    <w:abstractNumId w:val="4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SystemFonts/>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1"/>
    <w:docVar w:name="DocVarPREMATURE" w:val="0"/>
    <w:docVar w:name="EMM" w:val="0"/>
    <w:docVar w:name="ETRANSMISSION" w:val="PAR VOIE ÉLECTRONIQUE UNIQUEMENT"/>
    <w:docVar w:name="L4_1Annex" w:val="0"/>
    <w:docVar w:name="L4_1Anonymity" w:val="0"/>
    <w:docVar w:name="L4_1AppNatList" w:val="albanais"/>
    <w:docVar w:name="NBEMMDOC" w:val="0"/>
    <w:docVar w:name="SignForeName" w:val="0"/>
  </w:docVars>
  <w:rsids>
    <w:rsidRoot w:val="00430622"/>
    <w:rsid w:val="00000A8E"/>
    <w:rsid w:val="00002277"/>
    <w:rsid w:val="00004029"/>
    <w:rsid w:val="00005515"/>
    <w:rsid w:val="00005811"/>
    <w:rsid w:val="00006501"/>
    <w:rsid w:val="00006607"/>
    <w:rsid w:val="0000732D"/>
    <w:rsid w:val="00012CB1"/>
    <w:rsid w:val="000134A6"/>
    <w:rsid w:val="0001493E"/>
    <w:rsid w:val="00023684"/>
    <w:rsid w:val="0003067A"/>
    <w:rsid w:val="000346B8"/>
    <w:rsid w:val="00034B42"/>
    <w:rsid w:val="00037225"/>
    <w:rsid w:val="000372C9"/>
    <w:rsid w:val="0004094F"/>
    <w:rsid w:val="0004268E"/>
    <w:rsid w:val="00042DCF"/>
    <w:rsid w:val="00043AC2"/>
    <w:rsid w:val="00051F92"/>
    <w:rsid w:val="00054110"/>
    <w:rsid w:val="00056B64"/>
    <w:rsid w:val="00060909"/>
    <w:rsid w:val="00064197"/>
    <w:rsid w:val="0006601F"/>
    <w:rsid w:val="000712A3"/>
    <w:rsid w:val="00072E60"/>
    <w:rsid w:val="00073266"/>
    <w:rsid w:val="00073393"/>
    <w:rsid w:val="00076451"/>
    <w:rsid w:val="00083B79"/>
    <w:rsid w:val="00086777"/>
    <w:rsid w:val="0009234F"/>
    <w:rsid w:val="00093432"/>
    <w:rsid w:val="0009497E"/>
    <w:rsid w:val="0009631E"/>
    <w:rsid w:val="0009688D"/>
    <w:rsid w:val="000A1988"/>
    <w:rsid w:val="000A1ADF"/>
    <w:rsid w:val="000A1E9D"/>
    <w:rsid w:val="000A1F53"/>
    <w:rsid w:val="000A252D"/>
    <w:rsid w:val="000A3D31"/>
    <w:rsid w:val="000A4F27"/>
    <w:rsid w:val="000B3205"/>
    <w:rsid w:val="000B7194"/>
    <w:rsid w:val="000C2B6E"/>
    <w:rsid w:val="000C2F44"/>
    <w:rsid w:val="000C4043"/>
    <w:rsid w:val="000C68DF"/>
    <w:rsid w:val="000C6B8F"/>
    <w:rsid w:val="000C77D7"/>
    <w:rsid w:val="000C789D"/>
    <w:rsid w:val="000D4625"/>
    <w:rsid w:val="000D6013"/>
    <w:rsid w:val="000E0AFC"/>
    <w:rsid w:val="000E2985"/>
    <w:rsid w:val="000E2C87"/>
    <w:rsid w:val="000E30BD"/>
    <w:rsid w:val="000E3BA3"/>
    <w:rsid w:val="000E40F6"/>
    <w:rsid w:val="000E4C16"/>
    <w:rsid w:val="000E4D02"/>
    <w:rsid w:val="000E78C7"/>
    <w:rsid w:val="000F08D4"/>
    <w:rsid w:val="000F0B6F"/>
    <w:rsid w:val="000F18E5"/>
    <w:rsid w:val="000F4F13"/>
    <w:rsid w:val="000F7A09"/>
    <w:rsid w:val="00101713"/>
    <w:rsid w:val="001132E2"/>
    <w:rsid w:val="00115E02"/>
    <w:rsid w:val="00116FC4"/>
    <w:rsid w:val="00121497"/>
    <w:rsid w:val="00126687"/>
    <w:rsid w:val="001352AA"/>
    <w:rsid w:val="00135EF2"/>
    <w:rsid w:val="00140A63"/>
    <w:rsid w:val="00141894"/>
    <w:rsid w:val="0014253D"/>
    <w:rsid w:val="00142DF7"/>
    <w:rsid w:val="00147398"/>
    <w:rsid w:val="00150742"/>
    <w:rsid w:val="001524AA"/>
    <w:rsid w:val="001542F3"/>
    <w:rsid w:val="0015659F"/>
    <w:rsid w:val="00156680"/>
    <w:rsid w:val="001575C7"/>
    <w:rsid w:val="00161732"/>
    <w:rsid w:val="00162F56"/>
    <w:rsid w:val="00166CAB"/>
    <w:rsid w:val="00172CF0"/>
    <w:rsid w:val="001752B0"/>
    <w:rsid w:val="00180C7C"/>
    <w:rsid w:val="00180FFE"/>
    <w:rsid w:val="00184E3A"/>
    <w:rsid w:val="001957E2"/>
    <w:rsid w:val="00196E64"/>
    <w:rsid w:val="001A1237"/>
    <w:rsid w:val="001A419C"/>
    <w:rsid w:val="001B620F"/>
    <w:rsid w:val="001C41C2"/>
    <w:rsid w:val="001C50CB"/>
    <w:rsid w:val="001C6261"/>
    <w:rsid w:val="001C7C0F"/>
    <w:rsid w:val="001D3777"/>
    <w:rsid w:val="001D5402"/>
    <w:rsid w:val="001E34C4"/>
    <w:rsid w:val="001E5775"/>
    <w:rsid w:val="001F48D8"/>
    <w:rsid w:val="001F6022"/>
    <w:rsid w:val="001F6681"/>
    <w:rsid w:val="002032C4"/>
    <w:rsid w:val="00206868"/>
    <w:rsid w:val="00207248"/>
    <w:rsid w:val="002102CF"/>
    <w:rsid w:val="00211F5F"/>
    <w:rsid w:val="00211FC4"/>
    <w:rsid w:val="00220C1C"/>
    <w:rsid w:val="00221D16"/>
    <w:rsid w:val="00221F58"/>
    <w:rsid w:val="00226105"/>
    <w:rsid w:val="002310E0"/>
    <w:rsid w:val="00235768"/>
    <w:rsid w:val="00235DF7"/>
    <w:rsid w:val="00236C5E"/>
    <w:rsid w:val="00242E8E"/>
    <w:rsid w:val="002458EE"/>
    <w:rsid w:val="00247DD7"/>
    <w:rsid w:val="00251E93"/>
    <w:rsid w:val="00252728"/>
    <w:rsid w:val="002542AB"/>
    <w:rsid w:val="00261931"/>
    <w:rsid w:val="00263560"/>
    <w:rsid w:val="00263561"/>
    <w:rsid w:val="00263945"/>
    <w:rsid w:val="002671AD"/>
    <w:rsid w:val="00270B8E"/>
    <w:rsid w:val="00274199"/>
    <w:rsid w:val="00275091"/>
    <w:rsid w:val="00275720"/>
    <w:rsid w:val="00275892"/>
    <w:rsid w:val="00277EB3"/>
    <w:rsid w:val="00282023"/>
    <w:rsid w:val="002821AD"/>
    <w:rsid w:val="0028541F"/>
    <w:rsid w:val="00285A69"/>
    <w:rsid w:val="00287191"/>
    <w:rsid w:val="00287E88"/>
    <w:rsid w:val="002921BB"/>
    <w:rsid w:val="00293A46"/>
    <w:rsid w:val="0029723C"/>
    <w:rsid w:val="002A08E0"/>
    <w:rsid w:val="002A0EDF"/>
    <w:rsid w:val="002A27EC"/>
    <w:rsid w:val="002A3B51"/>
    <w:rsid w:val="002B015F"/>
    <w:rsid w:val="002C10F5"/>
    <w:rsid w:val="002E4DC8"/>
    <w:rsid w:val="002F1CE6"/>
    <w:rsid w:val="0030487C"/>
    <w:rsid w:val="00305449"/>
    <w:rsid w:val="00305E3B"/>
    <w:rsid w:val="003126C7"/>
    <w:rsid w:val="003141BB"/>
    <w:rsid w:val="00316384"/>
    <w:rsid w:val="00322E8D"/>
    <w:rsid w:val="003241E3"/>
    <w:rsid w:val="00324420"/>
    <w:rsid w:val="00327411"/>
    <w:rsid w:val="00330329"/>
    <w:rsid w:val="003306D4"/>
    <w:rsid w:val="00330941"/>
    <w:rsid w:val="00330998"/>
    <w:rsid w:val="0033610E"/>
    <w:rsid w:val="00336759"/>
    <w:rsid w:val="00336D6F"/>
    <w:rsid w:val="003407D0"/>
    <w:rsid w:val="00341552"/>
    <w:rsid w:val="00344CD9"/>
    <w:rsid w:val="00350960"/>
    <w:rsid w:val="00350C36"/>
    <w:rsid w:val="003528E5"/>
    <w:rsid w:val="00353314"/>
    <w:rsid w:val="00360C14"/>
    <w:rsid w:val="00361A91"/>
    <w:rsid w:val="00361E13"/>
    <w:rsid w:val="00362D1F"/>
    <w:rsid w:val="003659C9"/>
    <w:rsid w:val="0036772B"/>
    <w:rsid w:val="00367DB9"/>
    <w:rsid w:val="00370701"/>
    <w:rsid w:val="00370F2B"/>
    <w:rsid w:val="003713B7"/>
    <w:rsid w:val="00381E02"/>
    <w:rsid w:val="003835A5"/>
    <w:rsid w:val="00383CB7"/>
    <w:rsid w:val="0038470B"/>
    <w:rsid w:val="00386B91"/>
    <w:rsid w:val="00387F24"/>
    <w:rsid w:val="003925CE"/>
    <w:rsid w:val="00395C7D"/>
    <w:rsid w:val="003A09B2"/>
    <w:rsid w:val="003A0C51"/>
    <w:rsid w:val="003A132A"/>
    <w:rsid w:val="003B0567"/>
    <w:rsid w:val="003B61BC"/>
    <w:rsid w:val="003B6855"/>
    <w:rsid w:val="003B7606"/>
    <w:rsid w:val="003C1570"/>
    <w:rsid w:val="003C7D11"/>
    <w:rsid w:val="003D2870"/>
    <w:rsid w:val="003E2D42"/>
    <w:rsid w:val="003E3614"/>
    <w:rsid w:val="003E5079"/>
    <w:rsid w:val="003E78B3"/>
    <w:rsid w:val="003F1EDC"/>
    <w:rsid w:val="003F3A48"/>
    <w:rsid w:val="003F7A5D"/>
    <w:rsid w:val="0040106E"/>
    <w:rsid w:val="0040252B"/>
    <w:rsid w:val="00402F19"/>
    <w:rsid w:val="00403F94"/>
    <w:rsid w:val="0040406E"/>
    <w:rsid w:val="00404D22"/>
    <w:rsid w:val="004079E9"/>
    <w:rsid w:val="00411421"/>
    <w:rsid w:val="00411C18"/>
    <w:rsid w:val="00416D48"/>
    <w:rsid w:val="004219F0"/>
    <w:rsid w:val="004254D5"/>
    <w:rsid w:val="00425AF0"/>
    <w:rsid w:val="00425BF9"/>
    <w:rsid w:val="00430622"/>
    <w:rsid w:val="0043151B"/>
    <w:rsid w:val="00432F0B"/>
    <w:rsid w:val="0043356D"/>
    <w:rsid w:val="00435025"/>
    <w:rsid w:val="004367F1"/>
    <w:rsid w:val="00442FA9"/>
    <w:rsid w:val="00445E54"/>
    <w:rsid w:val="00447C55"/>
    <w:rsid w:val="004563AF"/>
    <w:rsid w:val="00460D4C"/>
    <w:rsid w:val="00462CC4"/>
    <w:rsid w:val="004653D9"/>
    <w:rsid w:val="004670C8"/>
    <w:rsid w:val="0046778E"/>
    <w:rsid w:val="004702BA"/>
    <w:rsid w:val="004734A5"/>
    <w:rsid w:val="004736D2"/>
    <w:rsid w:val="00475AE5"/>
    <w:rsid w:val="00486CD2"/>
    <w:rsid w:val="00492498"/>
    <w:rsid w:val="004930AD"/>
    <w:rsid w:val="004932DA"/>
    <w:rsid w:val="004A01A3"/>
    <w:rsid w:val="004A0F1E"/>
    <w:rsid w:val="004A260A"/>
    <w:rsid w:val="004B4817"/>
    <w:rsid w:val="004C1E7F"/>
    <w:rsid w:val="004C411B"/>
    <w:rsid w:val="004C4A40"/>
    <w:rsid w:val="004C61A7"/>
    <w:rsid w:val="004C639A"/>
    <w:rsid w:val="004C691A"/>
    <w:rsid w:val="004C7DF5"/>
    <w:rsid w:val="004D4A29"/>
    <w:rsid w:val="004D688D"/>
    <w:rsid w:val="004E3393"/>
    <w:rsid w:val="004E4552"/>
    <w:rsid w:val="004E5037"/>
    <w:rsid w:val="004E63CA"/>
    <w:rsid w:val="004F68A7"/>
    <w:rsid w:val="00504A7C"/>
    <w:rsid w:val="0051372F"/>
    <w:rsid w:val="0051452B"/>
    <w:rsid w:val="00516B41"/>
    <w:rsid w:val="00517894"/>
    <w:rsid w:val="0052605E"/>
    <w:rsid w:val="00531307"/>
    <w:rsid w:val="005319B5"/>
    <w:rsid w:val="00535FF2"/>
    <w:rsid w:val="005361A5"/>
    <w:rsid w:val="0053642D"/>
    <w:rsid w:val="00536B11"/>
    <w:rsid w:val="00537122"/>
    <w:rsid w:val="00543B83"/>
    <w:rsid w:val="005445AA"/>
    <w:rsid w:val="00547237"/>
    <w:rsid w:val="005501DA"/>
    <w:rsid w:val="00557EDE"/>
    <w:rsid w:val="00560B55"/>
    <w:rsid w:val="00561AFB"/>
    <w:rsid w:val="0056626B"/>
    <w:rsid w:val="0057037B"/>
    <w:rsid w:val="00570CCB"/>
    <w:rsid w:val="0057103A"/>
    <w:rsid w:val="005737E4"/>
    <w:rsid w:val="00573F30"/>
    <w:rsid w:val="005740C2"/>
    <w:rsid w:val="0057649D"/>
    <w:rsid w:val="0057792E"/>
    <w:rsid w:val="005801E1"/>
    <w:rsid w:val="00585672"/>
    <w:rsid w:val="00586308"/>
    <w:rsid w:val="00586B6E"/>
    <w:rsid w:val="00587A98"/>
    <w:rsid w:val="00591A8E"/>
    <w:rsid w:val="0059214E"/>
    <w:rsid w:val="005B3927"/>
    <w:rsid w:val="005B51DE"/>
    <w:rsid w:val="005B54AD"/>
    <w:rsid w:val="005B7AAF"/>
    <w:rsid w:val="005C7614"/>
    <w:rsid w:val="005C7EFD"/>
    <w:rsid w:val="005D4228"/>
    <w:rsid w:val="005E178F"/>
    <w:rsid w:val="005E1B0C"/>
    <w:rsid w:val="005E2382"/>
    <w:rsid w:val="005E6F80"/>
    <w:rsid w:val="005E7326"/>
    <w:rsid w:val="005E7568"/>
    <w:rsid w:val="005E79EB"/>
    <w:rsid w:val="005F02F1"/>
    <w:rsid w:val="005F231A"/>
    <w:rsid w:val="005F43E1"/>
    <w:rsid w:val="00601CE0"/>
    <w:rsid w:val="006036EC"/>
    <w:rsid w:val="0061049D"/>
    <w:rsid w:val="00610963"/>
    <w:rsid w:val="00612896"/>
    <w:rsid w:val="00616140"/>
    <w:rsid w:val="00620817"/>
    <w:rsid w:val="006208CF"/>
    <w:rsid w:val="00626255"/>
    <w:rsid w:val="0064438C"/>
    <w:rsid w:val="00647046"/>
    <w:rsid w:val="00653A1C"/>
    <w:rsid w:val="00654056"/>
    <w:rsid w:val="00654F13"/>
    <w:rsid w:val="00660206"/>
    <w:rsid w:val="00660904"/>
    <w:rsid w:val="00662B64"/>
    <w:rsid w:val="00663BE0"/>
    <w:rsid w:val="006716C1"/>
    <w:rsid w:val="0067335A"/>
    <w:rsid w:val="00676BB0"/>
    <w:rsid w:val="0068104D"/>
    <w:rsid w:val="0068155E"/>
    <w:rsid w:val="00683EFB"/>
    <w:rsid w:val="00684C51"/>
    <w:rsid w:val="00685582"/>
    <w:rsid w:val="00690C93"/>
    <w:rsid w:val="00693A1D"/>
    <w:rsid w:val="00694356"/>
    <w:rsid w:val="006970DB"/>
    <w:rsid w:val="0069719D"/>
    <w:rsid w:val="006A034A"/>
    <w:rsid w:val="006A05A8"/>
    <w:rsid w:val="006A0F1E"/>
    <w:rsid w:val="006A1ADE"/>
    <w:rsid w:val="006A1F0E"/>
    <w:rsid w:val="006A5686"/>
    <w:rsid w:val="006A75E7"/>
    <w:rsid w:val="006B0064"/>
    <w:rsid w:val="006B1877"/>
    <w:rsid w:val="006B1C83"/>
    <w:rsid w:val="006B2E22"/>
    <w:rsid w:val="006B32F1"/>
    <w:rsid w:val="006B3663"/>
    <w:rsid w:val="006C57C1"/>
    <w:rsid w:val="006C6C2A"/>
    <w:rsid w:val="006D224E"/>
    <w:rsid w:val="006D3528"/>
    <w:rsid w:val="006E10B7"/>
    <w:rsid w:val="006E301E"/>
    <w:rsid w:val="006E30BD"/>
    <w:rsid w:val="006E3C39"/>
    <w:rsid w:val="006E4B3E"/>
    <w:rsid w:val="006F005A"/>
    <w:rsid w:val="007028E0"/>
    <w:rsid w:val="007039CF"/>
    <w:rsid w:val="007043B6"/>
    <w:rsid w:val="007068E2"/>
    <w:rsid w:val="00710681"/>
    <w:rsid w:val="007211CA"/>
    <w:rsid w:val="00721C95"/>
    <w:rsid w:val="00722806"/>
    <w:rsid w:val="00730768"/>
    <w:rsid w:val="00730EF4"/>
    <w:rsid w:val="00731BBF"/>
    <w:rsid w:val="007357D0"/>
    <w:rsid w:val="00735F69"/>
    <w:rsid w:val="007360B4"/>
    <w:rsid w:val="007400F3"/>
    <w:rsid w:val="007407E7"/>
    <w:rsid w:val="00744CBB"/>
    <w:rsid w:val="007509D6"/>
    <w:rsid w:val="00752D87"/>
    <w:rsid w:val="00755392"/>
    <w:rsid w:val="00757864"/>
    <w:rsid w:val="0076147C"/>
    <w:rsid w:val="007620E6"/>
    <w:rsid w:val="00765B5F"/>
    <w:rsid w:val="0077322C"/>
    <w:rsid w:val="007769EA"/>
    <w:rsid w:val="00777042"/>
    <w:rsid w:val="0077792A"/>
    <w:rsid w:val="00780F3B"/>
    <w:rsid w:val="00781B87"/>
    <w:rsid w:val="007830AA"/>
    <w:rsid w:val="00784341"/>
    <w:rsid w:val="007864E1"/>
    <w:rsid w:val="00790C2C"/>
    <w:rsid w:val="00790EB5"/>
    <w:rsid w:val="0079148C"/>
    <w:rsid w:val="00792425"/>
    <w:rsid w:val="00795176"/>
    <w:rsid w:val="007977A7"/>
    <w:rsid w:val="007A087B"/>
    <w:rsid w:val="007A1711"/>
    <w:rsid w:val="007A181F"/>
    <w:rsid w:val="007A52A8"/>
    <w:rsid w:val="007B0925"/>
    <w:rsid w:val="007C041D"/>
    <w:rsid w:val="007C1EF3"/>
    <w:rsid w:val="007D5A77"/>
    <w:rsid w:val="007D7F7A"/>
    <w:rsid w:val="007E3337"/>
    <w:rsid w:val="007E34C8"/>
    <w:rsid w:val="007E48F4"/>
    <w:rsid w:val="007F6A42"/>
    <w:rsid w:val="00801738"/>
    <w:rsid w:val="00803644"/>
    <w:rsid w:val="008050D6"/>
    <w:rsid w:val="0080656F"/>
    <w:rsid w:val="00810868"/>
    <w:rsid w:val="00810883"/>
    <w:rsid w:val="008118BA"/>
    <w:rsid w:val="0081496C"/>
    <w:rsid w:val="008219DA"/>
    <w:rsid w:val="00826B77"/>
    <w:rsid w:val="00827927"/>
    <w:rsid w:val="00830036"/>
    <w:rsid w:val="00842853"/>
    <w:rsid w:val="0084755E"/>
    <w:rsid w:val="00852561"/>
    <w:rsid w:val="008609C7"/>
    <w:rsid w:val="00861376"/>
    <w:rsid w:val="008679FF"/>
    <w:rsid w:val="00867E82"/>
    <w:rsid w:val="00870735"/>
    <w:rsid w:val="00871017"/>
    <w:rsid w:val="0087481C"/>
    <w:rsid w:val="00875644"/>
    <w:rsid w:val="008806D6"/>
    <w:rsid w:val="00886CF1"/>
    <w:rsid w:val="0088729A"/>
    <w:rsid w:val="0089356C"/>
    <w:rsid w:val="00893A3C"/>
    <w:rsid w:val="00894AC2"/>
    <w:rsid w:val="00897F0F"/>
    <w:rsid w:val="008A0122"/>
    <w:rsid w:val="008B097F"/>
    <w:rsid w:val="008B458A"/>
    <w:rsid w:val="008C6E3C"/>
    <w:rsid w:val="008C7FEF"/>
    <w:rsid w:val="008D1018"/>
    <w:rsid w:val="008D1313"/>
    <w:rsid w:val="008D35F9"/>
    <w:rsid w:val="008D4C88"/>
    <w:rsid w:val="008D61D1"/>
    <w:rsid w:val="008D61E3"/>
    <w:rsid w:val="008E0A97"/>
    <w:rsid w:val="008E3968"/>
    <w:rsid w:val="008E6C45"/>
    <w:rsid w:val="008F1891"/>
    <w:rsid w:val="008F1D67"/>
    <w:rsid w:val="008F2D98"/>
    <w:rsid w:val="008F39FB"/>
    <w:rsid w:val="0090220E"/>
    <w:rsid w:val="00904F8D"/>
    <w:rsid w:val="00905F6B"/>
    <w:rsid w:val="00912E24"/>
    <w:rsid w:val="009134FC"/>
    <w:rsid w:val="00914A7F"/>
    <w:rsid w:val="00916C30"/>
    <w:rsid w:val="0092035F"/>
    <w:rsid w:val="0092156A"/>
    <w:rsid w:val="00921AD8"/>
    <w:rsid w:val="00922A88"/>
    <w:rsid w:val="00922F45"/>
    <w:rsid w:val="009260DF"/>
    <w:rsid w:val="00934E38"/>
    <w:rsid w:val="00936877"/>
    <w:rsid w:val="00942EF5"/>
    <w:rsid w:val="00946BFB"/>
    <w:rsid w:val="00953F9E"/>
    <w:rsid w:val="00956C5C"/>
    <w:rsid w:val="009633BA"/>
    <w:rsid w:val="00963849"/>
    <w:rsid w:val="00964559"/>
    <w:rsid w:val="00973C75"/>
    <w:rsid w:val="0097740D"/>
    <w:rsid w:val="00977CFB"/>
    <w:rsid w:val="00980BEB"/>
    <w:rsid w:val="00981F73"/>
    <w:rsid w:val="00983CE1"/>
    <w:rsid w:val="00987D59"/>
    <w:rsid w:val="00991EBF"/>
    <w:rsid w:val="00994511"/>
    <w:rsid w:val="00995968"/>
    <w:rsid w:val="009A0361"/>
    <w:rsid w:val="009A0A09"/>
    <w:rsid w:val="009A712B"/>
    <w:rsid w:val="009B481D"/>
    <w:rsid w:val="009B58D1"/>
    <w:rsid w:val="009C0666"/>
    <w:rsid w:val="009C1366"/>
    <w:rsid w:val="009C766F"/>
    <w:rsid w:val="009D29DE"/>
    <w:rsid w:val="009D5828"/>
    <w:rsid w:val="009D606D"/>
    <w:rsid w:val="009D6FA8"/>
    <w:rsid w:val="009D79F5"/>
    <w:rsid w:val="009E0F49"/>
    <w:rsid w:val="009E2D52"/>
    <w:rsid w:val="009F03E7"/>
    <w:rsid w:val="009F0A7A"/>
    <w:rsid w:val="009F0C64"/>
    <w:rsid w:val="009F7286"/>
    <w:rsid w:val="009F7447"/>
    <w:rsid w:val="00A015C5"/>
    <w:rsid w:val="00A1080F"/>
    <w:rsid w:val="00A11DB3"/>
    <w:rsid w:val="00A12918"/>
    <w:rsid w:val="00A211C8"/>
    <w:rsid w:val="00A22A25"/>
    <w:rsid w:val="00A25F03"/>
    <w:rsid w:val="00A317C4"/>
    <w:rsid w:val="00A3364A"/>
    <w:rsid w:val="00A37285"/>
    <w:rsid w:val="00A42005"/>
    <w:rsid w:val="00A46BA1"/>
    <w:rsid w:val="00A52634"/>
    <w:rsid w:val="00A53F42"/>
    <w:rsid w:val="00A639EF"/>
    <w:rsid w:val="00A65D0F"/>
    <w:rsid w:val="00A75132"/>
    <w:rsid w:val="00A77361"/>
    <w:rsid w:val="00A77DDC"/>
    <w:rsid w:val="00A82A74"/>
    <w:rsid w:val="00A82E6D"/>
    <w:rsid w:val="00A83F78"/>
    <w:rsid w:val="00A87CB7"/>
    <w:rsid w:val="00A91831"/>
    <w:rsid w:val="00A91B4D"/>
    <w:rsid w:val="00A9223D"/>
    <w:rsid w:val="00A92E1F"/>
    <w:rsid w:val="00A93956"/>
    <w:rsid w:val="00A93D51"/>
    <w:rsid w:val="00A94B09"/>
    <w:rsid w:val="00A96DB0"/>
    <w:rsid w:val="00A97C83"/>
    <w:rsid w:val="00AA21ED"/>
    <w:rsid w:val="00AB406B"/>
    <w:rsid w:val="00AC15ED"/>
    <w:rsid w:val="00AC41B1"/>
    <w:rsid w:val="00AC5425"/>
    <w:rsid w:val="00AC6A5F"/>
    <w:rsid w:val="00AD3301"/>
    <w:rsid w:val="00AD340B"/>
    <w:rsid w:val="00AD708C"/>
    <w:rsid w:val="00AD71DC"/>
    <w:rsid w:val="00AE4A75"/>
    <w:rsid w:val="00AF06F1"/>
    <w:rsid w:val="00B04694"/>
    <w:rsid w:val="00B04A9D"/>
    <w:rsid w:val="00B0595E"/>
    <w:rsid w:val="00B0698E"/>
    <w:rsid w:val="00B16475"/>
    <w:rsid w:val="00B17C2A"/>
    <w:rsid w:val="00B17F2F"/>
    <w:rsid w:val="00B20588"/>
    <w:rsid w:val="00B23589"/>
    <w:rsid w:val="00B269F8"/>
    <w:rsid w:val="00B33C50"/>
    <w:rsid w:val="00B35417"/>
    <w:rsid w:val="00B416F9"/>
    <w:rsid w:val="00B44321"/>
    <w:rsid w:val="00B47FDF"/>
    <w:rsid w:val="00B52A00"/>
    <w:rsid w:val="00B62D7C"/>
    <w:rsid w:val="00B65132"/>
    <w:rsid w:val="00B66476"/>
    <w:rsid w:val="00B75F74"/>
    <w:rsid w:val="00B857E4"/>
    <w:rsid w:val="00B870EA"/>
    <w:rsid w:val="00B949AB"/>
    <w:rsid w:val="00B96C9E"/>
    <w:rsid w:val="00B97E47"/>
    <w:rsid w:val="00BA3763"/>
    <w:rsid w:val="00BA5226"/>
    <w:rsid w:val="00BB27BE"/>
    <w:rsid w:val="00BB282B"/>
    <w:rsid w:val="00BC2AB9"/>
    <w:rsid w:val="00BC376C"/>
    <w:rsid w:val="00BC5328"/>
    <w:rsid w:val="00BC7512"/>
    <w:rsid w:val="00BD108E"/>
    <w:rsid w:val="00BD2DF8"/>
    <w:rsid w:val="00BD630F"/>
    <w:rsid w:val="00BD670D"/>
    <w:rsid w:val="00BD6DB6"/>
    <w:rsid w:val="00BD6EF5"/>
    <w:rsid w:val="00BE6F79"/>
    <w:rsid w:val="00BF455A"/>
    <w:rsid w:val="00BF6EC0"/>
    <w:rsid w:val="00C0442F"/>
    <w:rsid w:val="00C05AB2"/>
    <w:rsid w:val="00C07F44"/>
    <w:rsid w:val="00C12EE4"/>
    <w:rsid w:val="00C147C9"/>
    <w:rsid w:val="00C16178"/>
    <w:rsid w:val="00C209DD"/>
    <w:rsid w:val="00C23112"/>
    <w:rsid w:val="00C24B6D"/>
    <w:rsid w:val="00C27BF2"/>
    <w:rsid w:val="00C3363F"/>
    <w:rsid w:val="00C33BF6"/>
    <w:rsid w:val="00C36C7A"/>
    <w:rsid w:val="00C36FE1"/>
    <w:rsid w:val="00C45DB4"/>
    <w:rsid w:val="00C45E38"/>
    <w:rsid w:val="00C4639C"/>
    <w:rsid w:val="00C479CA"/>
    <w:rsid w:val="00C50CA6"/>
    <w:rsid w:val="00C51FAF"/>
    <w:rsid w:val="00C52E09"/>
    <w:rsid w:val="00C552FE"/>
    <w:rsid w:val="00C561B1"/>
    <w:rsid w:val="00C56B5A"/>
    <w:rsid w:val="00C633F8"/>
    <w:rsid w:val="00C70DB2"/>
    <w:rsid w:val="00C723C7"/>
    <w:rsid w:val="00C74400"/>
    <w:rsid w:val="00C92EBE"/>
    <w:rsid w:val="00C9635F"/>
    <w:rsid w:val="00C975F3"/>
    <w:rsid w:val="00CA151F"/>
    <w:rsid w:val="00CA1F58"/>
    <w:rsid w:val="00CA35E9"/>
    <w:rsid w:val="00CA6977"/>
    <w:rsid w:val="00CB21F7"/>
    <w:rsid w:val="00CB2A3D"/>
    <w:rsid w:val="00CB4956"/>
    <w:rsid w:val="00CB7769"/>
    <w:rsid w:val="00CB7DFD"/>
    <w:rsid w:val="00CC053B"/>
    <w:rsid w:val="00CC130E"/>
    <w:rsid w:val="00CC23EF"/>
    <w:rsid w:val="00CD109B"/>
    <w:rsid w:val="00CD417D"/>
    <w:rsid w:val="00CD5555"/>
    <w:rsid w:val="00CD6DFF"/>
    <w:rsid w:val="00CE15B8"/>
    <w:rsid w:val="00CE2E29"/>
    <w:rsid w:val="00CE3B45"/>
    <w:rsid w:val="00CE3E62"/>
    <w:rsid w:val="00CF0511"/>
    <w:rsid w:val="00CF299B"/>
    <w:rsid w:val="00CF385C"/>
    <w:rsid w:val="00D00414"/>
    <w:rsid w:val="00D01202"/>
    <w:rsid w:val="00D01290"/>
    <w:rsid w:val="00D028C5"/>
    <w:rsid w:val="00D052B8"/>
    <w:rsid w:val="00D07E4E"/>
    <w:rsid w:val="00D2173F"/>
    <w:rsid w:val="00D229F5"/>
    <w:rsid w:val="00D23690"/>
    <w:rsid w:val="00D31210"/>
    <w:rsid w:val="00D368A4"/>
    <w:rsid w:val="00D404A2"/>
    <w:rsid w:val="00D420EB"/>
    <w:rsid w:val="00D423F1"/>
    <w:rsid w:val="00D43215"/>
    <w:rsid w:val="00D44907"/>
    <w:rsid w:val="00D540C8"/>
    <w:rsid w:val="00D567C6"/>
    <w:rsid w:val="00D5720A"/>
    <w:rsid w:val="00D603FB"/>
    <w:rsid w:val="00D62110"/>
    <w:rsid w:val="00D65AB3"/>
    <w:rsid w:val="00D729A6"/>
    <w:rsid w:val="00D72E82"/>
    <w:rsid w:val="00D85BD0"/>
    <w:rsid w:val="00D86E1B"/>
    <w:rsid w:val="00D91932"/>
    <w:rsid w:val="00D92EB2"/>
    <w:rsid w:val="00D93DF1"/>
    <w:rsid w:val="00D97ED8"/>
    <w:rsid w:val="00DA1F90"/>
    <w:rsid w:val="00DA5C4F"/>
    <w:rsid w:val="00DA61F1"/>
    <w:rsid w:val="00DA7B5A"/>
    <w:rsid w:val="00DB5070"/>
    <w:rsid w:val="00DB7F27"/>
    <w:rsid w:val="00DC1666"/>
    <w:rsid w:val="00DC1AF9"/>
    <w:rsid w:val="00DC294A"/>
    <w:rsid w:val="00DC4F5D"/>
    <w:rsid w:val="00DD02DA"/>
    <w:rsid w:val="00DD6052"/>
    <w:rsid w:val="00DE015A"/>
    <w:rsid w:val="00DE0B98"/>
    <w:rsid w:val="00DE381C"/>
    <w:rsid w:val="00DE3FAB"/>
    <w:rsid w:val="00DE593D"/>
    <w:rsid w:val="00DF3BEB"/>
    <w:rsid w:val="00DF4CE3"/>
    <w:rsid w:val="00E03130"/>
    <w:rsid w:val="00E03658"/>
    <w:rsid w:val="00E045FF"/>
    <w:rsid w:val="00E055E4"/>
    <w:rsid w:val="00E075A5"/>
    <w:rsid w:val="00E107CC"/>
    <w:rsid w:val="00E10996"/>
    <w:rsid w:val="00E12192"/>
    <w:rsid w:val="00E12962"/>
    <w:rsid w:val="00E168C6"/>
    <w:rsid w:val="00E275FA"/>
    <w:rsid w:val="00E27B15"/>
    <w:rsid w:val="00E3190A"/>
    <w:rsid w:val="00E33627"/>
    <w:rsid w:val="00E33D12"/>
    <w:rsid w:val="00E417D7"/>
    <w:rsid w:val="00E423E5"/>
    <w:rsid w:val="00E440A8"/>
    <w:rsid w:val="00E458E0"/>
    <w:rsid w:val="00E46D82"/>
    <w:rsid w:val="00E5029D"/>
    <w:rsid w:val="00E5101D"/>
    <w:rsid w:val="00E576F4"/>
    <w:rsid w:val="00E57868"/>
    <w:rsid w:val="00E57C59"/>
    <w:rsid w:val="00E61903"/>
    <w:rsid w:val="00E74165"/>
    <w:rsid w:val="00E75939"/>
    <w:rsid w:val="00E76130"/>
    <w:rsid w:val="00E900C5"/>
    <w:rsid w:val="00E90227"/>
    <w:rsid w:val="00E91232"/>
    <w:rsid w:val="00E92E06"/>
    <w:rsid w:val="00E953FC"/>
    <w:rsid w:val="00E961F7"/>
    <w:rsid w:val="00E9647C"/>
    <w:rsid w:val="00E96B5C"/>
    <w:rsid w:val="00EA0F3E"/>
    <w:rsid w:val="00EA2153"/>
    <w:rsid w:val="00EA51E7"/>
    <w:rsid w:val="00EA69A2"/>
    <w:rsid w:val="00EB079A"/>
    <w:rsid w:val="00EB0E9D"/>
    <w:rsid w:val="00EC1AB4"/>
    <w:rsid w:val="00EC50CF"/>
    <w:rsid w:val="00EC5EE4"/>
    <w:rsid w:val="00EC6427"/>
    <w:rsid w:val="00EC7B25"/>
    <w:rsid w:val="00ED0745"/>
    <w:rsid w:val="00ED07B1"/>
    <w:rsid w:val="00ED2682"/>
    <w:rsid w:val="00ED289B"/>
    <w:rsid w:val="00ED5381"/>
    <w:rsid w:val="00ED5573"/>
    <w:rsid w:val="00EE1D67"/>
    <w:rsid w:val="00EE2322"/>
    <w:rsid w:val="00EE40D1"/>
    <w:rsid w:val="00EE68DF"/>
    <w:rsid w:val="00EF3483"/>
    <w:rsid w:val="00EF5CE3"/>
    <w:rsid w:val="00F03C3B"/>
    <w:rsid w:val="00F06A8A"/>
    <w:rsid w:val="00F06B4D"/>
    <w:rsid w:val="00F102EA"/>
    <w:rsid w:val="00F111EC"/>
    <w:rsid w:val="00F13ACD"/>
    <w:rsid w:val="00F1637B"/>
    <w:rsid w:val="00F17D78"/>
    <w:rsid w:val="00F2160B"/>
    <w:rsid w:val="00F23152"/>
    <w:rsid w:val="00F23FA8"/>
    <w:rsid w:val="00F26253"/>
    <w:rsid w:val="00F31C44"/>
    <w:rsid w:val="00F367E5"/>
    <w:rsid w:val="00F41465"/>
    <w:rsid w:val="00F424D4"/>
    <w:rsid w:val="00F42A7C"/>
    <w:rsid w:val="00F445F0"/>
    <w:rsid w:val="00F51203"/>
    <w:rsid w:val="00F53642"/>
    <w:rsid w:val="00F56B92"/>
    <w:rsid w:val="00F65560"/>
    <w:rsid w:val="00F6691E"/>
    <w:rsid w:val="00F673E5"/>
    <w:rsid w:val="00F70910"/>
    <w:rsid w:val="00F72410"/>
    <w:rsid w:val="00F74921"/>
    <w:rsid w:val="00F75430"/>
    <w:rsid w:val="00F77B27"/>
    <w:rsid w:val="00F83363"/>
    <w:rsid w:val="00F847C4"/>
    <w:rsid w:val="00F8793E"/>
    <w:rsid w:val="00F91373"/>
    <w:rsid w:val="00F913E9"/>
    <w:rsid w:val="00F966D4"/>
    <w:rsid w:val="00F966DF"/>
    <w:rsid w:val="00F97FD7"/>
    <w:rsid w:val="00FA0BDE"/>
    <w:rsid w:val="00FA1943"/>
    <w:rsid w:val="00FA3AB4"/>
    <w:rsid w:val="00FA43CA"/>
    <w:rsid w:val="00FA4460"/>
    <w:rsid w:val="00FA4C71"/>
    <w:rsid w:val="00FA6BFB"/>
    <w:rsid w:val="00FA6D18"/>
    <w:rsid w:val="00FB149A"/>
    <w:rsid w:val="00FB5474"/>
    <w:rsid w:val="00FB6D0D"/>
    <w:rsid w:val="00FB75EE"/>
    <w:rsid w:val="00FC5955"/>
    <w:rsid w:val="00FC739E"/>
    <w:rsid w:val="00FD3C1D"/>
    <w:rsid w:val="00FF02CE"/>
    <w:rsid w:val="00FF14C0"/>
    <w:rsid w:val="00FF4662"/>
    <w:rsid w:val="00FF7E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23690"/>
    <w:pPr>
      <w:jc w:val="both"/>
    </w:pPr>
    <w:rPr>
      <w:rFonts w:eastAsiaTheme="minorEastAsia"/>
      <w:sz w:val="24"/>
      <w:lang w:val="en-US" w:eastAsia="en-US"/>
    </w:rPr>
  </w:style>
  <w:style w:type="paragraph" w:styleId="Heading1">
    <w:name w:val="heading 1"/>
    <w:basedOn w:val="Normal"/>
    <w:next w:val="Normal"/>
    <w:link w:val="Heading1Char"/>
    <w:uiPriority w:val="99"/>
    <w:semiHidden/>
    <w:rsid w:val="00D2369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2369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2369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2369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23690"/>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D2369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23690"/>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D23690"/>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D23690"/>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link w:val="JuHIRomanChar"/>
    <w:uiPriority w:val="19"/>
    <w:qFormat/>
    <w:rsid w:val="00D23690"/>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D23690"/>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D23690"/>
    <w:pPr>
      <w:ind w:firstLine="284"/>
    </w:pPr>
    <w:rPr>
      <w:lang w:val="fr-FR" w:eastAsia="fr-FR"/>
    </w:rPr>
  </w:style>
  <w:style w:type="character" w:customStyle="1" w:styleId="ECHRParaChar">
    <w:name w:val="ECHR_Para Char"/>
    <w:aliases w:val="Ju_Para Char"/>
    <w:link w:val="ECHRPara"/>
    <w:uiPriority w:val="12"/>
    <w:rsid w:val="009D29DE"/>
    <w:rPr>
      <w:rFonts w:eastAsiaTheme="minorEastAsia"/>
      <w:sz w:val="24"/>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paragraph" w:styleId="Footer">
    <w:name w:val="footer"/>
    <w:basedOn w:val="Normal"/>
    <w:link w:val="FooterChar"/>
    <w:uiPriority w:val="57"/>
    <w:semiHidden/>
    <w:rsid w:val="00D23690"/>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D23690"/>
    <w:pPr>
      <w:tabs>
        <w:tab w:val="left" w:pos="567"/>
        <w:tab w:val="left" w:pos="1134"/>
      </w:tabs>
      <w:jc w:val="left"/>
    </w:pPr>
    <w:rPr>
      <w:lang w:val="fr-FR" w:eastAsia="fr-FR"/>
    </w:rPr>
  </w:style>
  <w:style w:type="character" w:customStyle="1" w:styleId="JuJudgesChar">
    <w:name w:val="Ju_Judges Char"/>
    <w:link w:val="ECHRDecisionBody"/>
    <w:uiPriority w:val="11"/>
    <w:rsid w:val="00287191"/>
    <w:rPr>
      <w:rFonts w:eastAsiaTheme="minorEastAsia"/>
      <w:sz w:val="24"/>
    </w:rPr>
  </w:style>
  <w:style w:type="character" w:styleId="Strong">
    <w:name w:val="Strong"/>
    <w:uiPriority w:val="99"/>
    <w:semiHidden/>
    <w:qFormat/>
    <w:rsid w:val="00D23690"/>
    <w:rPr>
      <w:b/>
      <w:bCs/>
    </w:rPr>
  </w:style>
  <w:style w:type="paragraph" w:customStyle="1" w:styleId="ECHRHeading2">
    <w:name w:val="ECHR_Heading_2"/>
    <w:aliases w:val="Ju_H_A"/>
    <w:basedOn w:val="Heading2"/>
    <w:next w:val="ECHRPara"/>
    <w:uiPriority w:val="20"/>
    <w:qFormat/>
    <w:rsid w:val="00D23690"/>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link w:val="JuQuotChar"/>
    <w:uiPriority w:val="14"/>
    <w:qFormat/>
    <w:rsid w:val="00D23690"/>
    <w:pPr>
      <w:spacing w:before="120" w:after="120"/>
      <w:ind w:left="425" w:firstLine="142"/>
    </w:pPr>
    <w:rPr>
      <w:sz w:val="20"/>
      <w:lang w:val="fr-FR" w:eastAsia="fr-FR"/>
    </w:rPr>
  </w:style>
  <w:style w:type="paragraph" w:customStyle="1" w:styleId="JuSigned">
    <w:name w:val="Ju_Signed"/>
    <w:basedOn w:val="Normal"/>
    <w:next w:val="JuParaLast"/>
    <w:uiPriority w:val="32"/>
    <w:qFormat/>
    <w:rsid w:val="00D23690"/>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D23690"/>
    <w:pPr>
      <w:keepNext/>
      <w:keepLines/>
      <w:spacing w:before="240"/>
      <w:ind w:firstLine="284"/>
    </w:pPr>
    <w:rPr>
      <w:lang w:val="fr-FR" w:eastAsia="fr-FR"/>
    </w:rPr>
  </w:style>
  <w:style w:type="paragraph" w:customStyle="1" w:styleId="JuCase">
    <w:name w:val="Ju_Case"/>
    <w:basedOn w:val="Normal"/>
    <w:next w:val="ECHRPara"/>
    <w:uiPriority w:val="10"/>
    <w:rsid w:val="00D23690"/>
    <w:pPr>
      <w:ind w:firstLine="284"/>
    </w:pPr>
    <w:rPr>
      <w:b/>
    </w:rPr>
  </w:style>
  <w:style w:type="paragraph" w:customStyle="1" w:styleId="JuList">
    <w:name w:val="Ju_List"/>
    <w:basedOn w:val="Normal"/>
    <w:uiPriority w:val="28"/>
    <w:qFormat/>
    <w:rsid w:val="00D23690"/>
    <w:pPr>
      <w:ind w:left="340" w:hanging="340"/>
    </w:pPr>
    <w:rPr>
      <w:lang w:val="fr-FR" w:eastAsia="fr-FR"/>
    </w:rPr>
  </w:style>
  <w:style w:type="paragraph" w:customStyle="1" w:styleId="JuAppQuestion">
    <w:name w:val="Ju_App_Question"/>
    <w:basedOn w:val="Normal"/>
    <w:uiPriority w:val="5"/>
    <w:rsid w:val="00D23690"/>
    <w:pPr>
      <w:numPr>
        <w:numId w:val="2"/>
      </w:numPr>
      <w:jc w:val="left"/>
    </w:pPr>
    <w:rPr>
      <w:b/>
    </w:rPr>
  </w:style>
  <w:style w:type="paragraph" w:styleId="FootnoteText">
    <w:name w:val="footnote text"/>
    <w:basedOn w:val="Normal"/>
    <w:link w:val="FootnoteTextChar"/>
    <w:uiPriority w:val="99"/>
    <w:semiHidden/>
    <w:rsid w:val="00D23690"/>
    <w:rPr>
      <w:sz w:val="20"/>
      <w:szCs w:val="20"/>
    </w:rPr>
  </w:style>
  <w:style w:type="character" w:styleId="FootnoteReference">
    <w:name w:val="footnote reference"/>
    <w:basedOn w:val="DefaultParagraphFont"/>
    <w:uiPriority w:val="99"/>
    <w:semiHidden/>
    <w:rsid w:val="00D23690"/>
    <w:rPr>
      <w:vertAlign w:val="superscript"/>
    </w:rPr>
  </w:style>
  <w:style w:type="paragraph" w:styleId="Header">
    <w:name w:val="header"/>
    <w:basedOn w:val="Normal"/>
    <w:link w:val="HeaderChar"/>
    <w:uiPriority w:val="57"/>
    <w:semiHidden/>
    <w:rsid w:val="00D23690"/>
    <w:pPr>
      <w:tabs>
        <w:tab w:val="center" w:pos="4536"/>
        <w:tab w:val="right" w:pos="9072"/>
      </w:tabs>
    </w:pPr>
    <w:rPr>
      <w:rFonts w:eastAsiaTheme="minorHAnsi"/>
    </w:rPr>
  </w:style>
  <w:style w:type="character" w:styleId="PageNumber">
    <w:name w:val="page number"/>
    <w:uiPriority w:val="99"/>
    <w:semiHidden/>
    <w:rsid w:val="004219F0"/>
    <w:rPr>
      <w:rFonts w:ascii="Times New Roman" w:hAnsi="Times New Roman" w:cs="Times New Roman"/>
      <w:sz w:val="18"/>
    </w:rPr>
  </w:style>
  <w:style w:type="paragraph" w:customStyle="1" w:styleId="JuLista">
    <w:name w:val="Ju_List_a"/>
    <w:basedOn w:val="JuList"/>
    <w:uiPriority w:val="28"/>
    <w:qFormat/>
    <w:rsid w:val="00D23690"/>
    <w:pPr>
      <w:ind w:left="346" w:firstLine="0"/>
    </w:pPr>
  </w:style>
  <w:style w:type="paragraph" w:customStyle="1" w:styleId="JuListi">
    <w:name w:val="Ju_List_i"/>
    <w:basedOn w:val="Normal"/>
    <w:next w:val="JuLista"/>
    <w:uiPriority w:val="28"/>
    <w:qFormat/>
    <w:rsid w:val="00D23690"/>
    <w:pPr>
      <w:ind w:left="794"/>
    </w:pPr>
    <w:rPr>
      <w:lang w:val="fr-FR" w:eastAsia="fr-FR"/>
    </w:rPr>
  </w:style>
  <w:style w:type="character" w:styleId="CommentReference">
    <w:name w:val="annotation reference"/>
    <w:uiPriority w:val="99"/>
    <w:semiHidden/>
    <w:rPr>
      <w:sz w:val="16"/>
    </w:rPr>
  </w:style>
  <w:style w:type="paragraph" w:styleId="CommentText">
    <w:name w:val="annotation text"/>
    <w:basedOn w:val="Normal"/>
    <w:uiPriority w:val="99"/>
    <w:semiHidden/>
    <w:rPr>
      <w:sz w:val="20"/>
    </w:rPr>
  </w:style>
  <w:style w:type="paragraph" w:styleId="BalloonText">
    <w:name w:val="Balloon Text"/>
    <w:basedOn w:val="Normal"/>
    <w:link w:val="BalloonTextChar"/>
    <w:uiPriority w:val="99"/>
    <w:semiHidden/>
    <w:rsid w:val="00D23690"/>
    <w:rPr>
      <w:rFonts w:ascii="Tahoma" w:hAnsi="Tahoma" w:cs="Tahoma"/>
      <w:sz w:val="16"/>
      <w:szCs w:val="16"/>
    </w:rPr>
  </w:style>
  <w:style w:type="character" w:styleId="Hyperlink">
    <w:name w:val="Hyperlink"/>
    <w:basedOn w:val="DefaultParagraphFont"/>
    <w:uiPriority w:val="99"/>
    <w:semiHidden/>
    <w:rsid w:val="00D23690"/>
    <w:rPr>
      <w:color w:val="0072BC" w:themeColor="hyperlink"/>
      <w:u w:val="single"/>
    </w:rPr>
  </w:style>
  <w:style w:type="character" w:styleId="EndnoteReference">
    <w:name w:val="endnote reference"/>
    <w:uiPriority w:val="99"/>
    <w:semiHidden/>
    <w:rsid w:val="004219F0"/>
    <w:rPr>
      <w:rFonts w:ascii="Times New Roman" w:hAnsi="Times New Roman" w:cs="Times New Roman"/>
      <w:vertAlign w:val="superscript"/>
    </w:rPr>
  </w:style>
  <w:style w:type="paragraph" w:styleId="EndnoteText">
    <w:name w:val="endnote text"/>
    <w:basedOn w:val="Normal"/>
    <w:uiPriority w:val="99"/>
    <w:semiHidden/>
    <w:rsid w:val="004219F0"/>
    <w:rPr>
      <w:sz w:val="20"/>
    </w:rPr>
  </w:style>
  <w:style w:type="character" w:styleId="FollowedHyperlink">
    <w:name w:val="FollowedHyperlink"/>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
      </w:numPr>
    </w:pPr>
  </w:style>
  <w:style w:type="paragraph" w:customStyle="1" w:styleId="OpiPara">
    <w:name w:val="Opi_Para"/>
    <w:basedOn w:val="ECHRPara"/>
    <w:uiPriority w:val="46"/>
    <w:qFormat/>
    <w:rsid w:val="00D23690"/>
  </w:style>
  <w:style w:type="paragraph" w:styleId="CommentSubject">
    <w:name w:val="annotation subject"/>
    <w:basedOn w:val="CommentText"/>
    <w:next w:val="CommentText"/>
    <w:uiPriority w:val="99"/>
    <w:semiHidden/>
    <w:rsid w:val="00E27B15"/>
    <w:rPr>
      <w:b/>
      <w:bCs/>
    </w:rPr>
  </w:style>
  <w:style w:type="paragraph" w:styleId="DocumentMap">
    <w:name w:val="Document Map"/>
    <w:basedOn w:val="Normal"/>
    <w:uiPriority w:val="99"/>
    <w:semiHidden/>
    <w:rsid w:val="00B33C50"/>
    <w:pPr>
      <w:shd w:val="clear" w:color="auto" w:fill="000080"/>
    </w:pPr>
    <w:rPr>
      <w:rFonts w:ascii="Tahoma" w:hAnsi="Tahoma" w:cs="Tahoma"/>
      <w:sz w:val="20"/>
    </w:rPr>
  </w:style>
  <w:style w:type="paragraph" w:customStyle="1" w:styleId="JuParaSub">
    <w:name w:val="Ju_Para_Sub"/>
    <w:basedOn w:val="ECHRPara"/>
    <w:uiPriority w:val="13"/>
    <w:qFormat/>
    <w:rsid w:val="00D23690"/>
    <w:pPr>
      <w:ind w:left="284"/>
    </w:pPr>
  </w:style>
  <w:style w:type="character" w:customStyle="1" w:styleId="Heading1Char">
    <w:name w:val="Heading 1 Char"/>
    <w:basedOn w:val="DefaultParagraphFont"/>
    <w:link w:val="Heading1"/>
    <w:uiPriority w:val="99"/>
    <w:semiHidden/>
    <w:rsid w:val="00D23690"/>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D23690"/>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D23690"/>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D23690"/>
    <w:rPr>
      <w:rFonts w:asciiTheme="majorHAnsi" w:eastAsiaTheme="majorEastAsia" w:hAnsiTheme="majorHAnsi" w:cstheme="majorBidi"/>
      <w:b/>
      <w:bCs/>
      <w:i/>
      <w:iCs/>
      <w:color w:val="777777"/>
      <w:sz w:val="24"/>
      <w:lang w:val="en-US" w:eastAsia="en-US"/>
    </w:rPr>
  </w:style>
  <w:style w:type="character" w:customStyle="1" w:styleId="Heading5Char">
    <w:name w:val="Heading 5 Char"/>
    <w:basedOn w:val="DefaultParagraphFont"/>
    <w:link w:val="Heading5"/>
    <w:uiPriority w:val="99"/>
    <w:semiHidden/>
    <w:rsid w:val="00D23690"/>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semiHidden/>
    <w:rsid w:val="00D23690"/>
    <w:rPr>
      <w:rFonts w:asciiTheme="majorHAnsi" w:eastAsiaTheme="majorEastAsia" w:hAnsiTheme="majorHAnsi" w:cstheme="majorBidi"/>
      <w:b/>
      <w:bCs/>
      <w:i/>
      <w:iCs/>
      <w:color w:val="7F7F7F" w:themeColor="text1" w:themeTint="80"/>
      <w:sz w:val="24"/>
      <w:lang w:val="en-US" w:eastAsia="en-US" w:bidi="en-US"/>
    </w:rPr>
  </w:style>
  <w:style w:type="character" w:customStyle="1" w:styleId="Heading7Char">
    <w:name w:val="Heading 7 Char"/>
    <w:basedOn w:val="DefaultParagraphFont"/>
    <w:link w:val="Heading7"/>
    <w:uiPriority w:val="99"/>
    <w:semiHidden/>
    <w:rsid w:val="00D2369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D2369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D23690"/>
    <w:rPr>
      <w:rFonts w:asciiTheme="majorHAnsi" w:eastAsiaTheme="majorEastAsia" w:hAnsiTheme="majorHAnsi" w:cstheme="majorBidi"/>
      <w:i/>
      <w:iCs/>
      <w:spacing w:val="5"/>
      <w:sz w:val="20"/>
      <w:szCs w:val="20"/>
      <w:lang w:bidi="en-US"/>
    </w:rPr>
  </w:style>
  <w:style w:type="character" w:customStyle="1" w:styleId="BalloonTextChar">
    <w:name w:val="Balloon Text Char"/>
    <w:basedOn w:val="DefaultParagraphFont"/>
    <w:link w:val="BalloonText"/>
    <w:uiPriority w:val="99"/>
    <w:semiHidden/>
    <w:rsid w:val="00D23690"/>
    <w:rPr>
      <w:rFonts w:ascii="Tahoma" w:eastAsiaTheme="minorEastAsia" w:hAnsi="Tahoma" w:cs="Tahoma"/>
      <w:sz w:val="16"/>
      <w:szCs w:val="16"/>
      <w:lang w:val="en-US" w:eastAsia="en-US"/>
    </w:rPr>
  </w:style>
  <w:style w:type="character" w:styleId="BookTitle">
    <w:name w:val="Book Title"/>
    <w:uiPriority w:val="99"/>
    <w:semiHidden/>
    <w:qFormat/>
    <w:rsid w:val="00D23690"/>
    <w:rPr>
      <w:i/>
      <w:iCs/>
      <w:smallCaps/>
      <w:spacing w:val="5"/>
    </w:rPr>
  </w:style>
  <w:style w:type="paragraph" w:styleId="NoSpacing">
    <w:name w:val="No Spacing"/>
    <w:basedOn w:val="Normal"/>
    <w:link w:val="NoSpacingChar"/>
    <w:semiHidden/>
    <w:qFormat/>
    <w:rsid w:val="00D23690"/>
    <w:rPr>
      <w:sz w:val="22"/>
      <w:lang w:val="fr-FR" w:eastAsia="fr-FR"/>
    </w:rPr>
  </w:style>
  <w:style w:type="character" w:customStyle="1" w:styleId="NoSpacingChar">
    <w:name w:val="No Spacing Char"/>
    <w:basedOn w:val="DefaultParagraphFont"/>
    <w:link w:val="NoSpacing"/>
    <w:semiHidden/>
    <w:rsid w:val="00D23690"/>
    <w:rPr>
      <w:rFonts w:eastAsiaTheme="minorEastAsia"/>
    </w:rPr>
  </w:style>
  <w:style w:type="paragraph" w:styleId="Title">
    <w:name w:val="Title"/>
    <w:basedOn w:val="Normal"/>
    <w:next w:val="Normal"/>
    <w:link w:val="TitleChar"/>
    <w:uiPriority w:val="99"/>
    <w:semiHidden/>
    <w:qFormat/>
    <w:rsid w:val="00D23690"/>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D23690"/>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D23690"/>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D23690"/>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Footer"/>
    <w:uiPriority w:val="57"/>
    <w:semiHidden/>
    <w:rsid w:val="00D23690"/>
    <w:pPr>
      <w:jc w:val="left"/>
    </w:pPr>
    <w:rPr>
      <w:sz w:val="8"/>
    </w:rPr>
  </w:style>
  <w:style w:type="paragraph" w:customStyle="1" w:styleId="ECHRFooterLine">
    <w:name w:val="ECHR_Footer_Line"/>
    <w:aliases w:val="Footer_Line"/>
    <w:basedOn w:val="Normal"/>
    <w:next w:val="ECHRFooter"/>
    <w:uiPriority w:val="57"/>
    <w:semiHidden/>
    <w:rsid w:val="00D23690"/>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D23690"/>
    <w:rPr>
      <w:sz w:val="24"/>
      <w:lang w:val="en-US" w:eastAsia="en-US"/>
    </w:rPr>
  </w:style>
  <w:style w:type="paragraph" w:customStyle="1" w:styleId="ECHRHeader">
    <w:name w:val="ECHR_Header"/>
    <w:aliases w:val="Ju_Header"/>
    <w:basedOn w:val="Header"/>
    <w:uiPriority w:val="4"/>
    <w:qFormat/>
    <w:rsid w:val="00D23690"/>
    <w:pPr>
      <w:tabs>
        <w:tab w:val="clear" w:pos="4536"/>
        <w:tab w:val="clear" w:pos="9072"/>
        <w:tab w:val="center" w:pos="3686"/>
        <w:tab w:val="right" w:pos="7371"/>
      </w:tabs>
      <w:jc w:val="left"/>
    </w:pPr>
    <w:rPr>
      <w:sz w:val="18"/>
      <w:lang w:val="fr-FR" w:eastAsia="fr-FR"/>
    </w:rPr>
  </w:style>
  <w:style w:type="character" w:styleId="SubtleEmphasis">
    <w:name w:val="Subtle Emphasis"/>
    <w:uiPriority w:val="99"/>
    <w:semiHidden/>
    <w:qFormat/>
    <w:rsid w:val="00D23690"/>
    <w:rPr>
      <w:i/>
      <w:iCs/>
    </w:rPr>
  </w:style>
  <w:style w:type="character" w:styleId="Emphasis">
    <w:name w:val="Emphasis"/>
    <w:uiPriority w:val="99"/>
    <w:semiHidden/>
    <w:qFormat/>
    <w:rsid w:val="00D23690"/>
    <w:rPr>
      <w:b/>
      <w:bCs/>
      <w:i/>
      <w:iCs/>
      <w:spacing w:val="10"/>
      <w:bdr w:val="none" w:sz="0" w:space="0" w:color="auto"/>
      <w:shd w:val="clear" w:color="auto" w:fill="auto"/>
    </w:rPr>
  </w:style>
  <w:style w:type="character" w:customStyle="1" w:styleId="FooterChar">
    <w:name w:val="Footer Char"/>
    <w:basedOn w:val="DefaultParagraphFont"/>
    <w:link w:val="Footer"/>
    <w:uiPriority w:val="57"/>
    <w:semiHidden/>
    <w:rsid w:val="00D23690"/>
    <w:rPr>
      <w:sz w:val="24"/>
      <w:lang w:val="en-US" w:eastAsia="en-US"/>
    </w:rPr>
  </w:style>
  <w:style w:type="character" w:customStyle="1" w:styleId="FootnoteTextChar">
    <w:name w:val="Footnote Text Char"/>
    <w:basedOn w:val="DefaultParagraphFont"/>
    <w:link w:val="FootnoteText"/>
    <w:uiPriority w:val="99"/>
    <w:semiHidden/>
    <w:rsid w:val="00D23690"/>
    <w:rPr>
      <w:rFonts w:eastAsiaTheme="minorEastAsia"/>
      <w:sz w:val="20"/>
      <w:szCs w:val="20"/>
      <w:lang w:val="en-US" w:eastAsia="en-US"/>
    </w:rPr>
  </w:style>
  <w:style w:type="character" w:styleId="IntenseEmphasis">
    <w:name w:val="Intense Emphasis"/>
    <w:uiPriority w:val="99"/>
    <w:semiHidden/>
    <w:qFormat/>
    <w:rsid w:val="00D23690"/>
    <w:rPr>
      <w:b/>
      <w:bCs/>
    </w:rPr>
  </w:style>
  <w:style w:type="paragraph" w:styleId="IntenseQuote">
    <w:name w:val="Intense Quote"/>
    <w:basedOn w:val="Normal"/>
    <w:next w:val="Normal"/>
    <w:link w:val="IntenseQuoteChar"/>
    <w:uiPriority w:val="99"/>
    <w:semiHidden/>
    <w:qFormat/>
    <w:rsid w:val="00D23690"/>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D23690"/>
    <w:rPr>
      <w:rFonts w:eastAsiaTheme="minorEastAsia"/>
      <w:b/>
      <w:bCs/>
      <w:i/>
      <w:iCs/>
      <w:lang w:bidi="en-US"/>
    </w:rPr>
  </w:style>
  <w:style w:type="character" w:styleId="IntenseReference">
    <w:name w:val="Intense Reference"/>
    <w:uiPriority w:val="99"/>
    <w:semiHidden/>
    <w:qFormat/>
    <w:rsid w:val="00D23690"/>
    <w:rPr>
      <w:smallCaps/>
      <w:spacing w:val="5"/>
      <w:u w:val="single"/>
    </w:rPr>
  </w:style>
  <w:style w:type="paragraph" w:customStyle="1" w:styleId="OpiParaSub">
    <w:name w:val="Opi_Para_Sub"/>
    <w:basedOn w:val="JuParaSub"/>
    <w:uiPriority w:val="47"/>
    <w:qFormat/>
    <w:rsid w:val="00D23690"/>
  </w:style>
  <w:style w:type="paragraph" w:customStyle="1" w:styleId="OpiQuot">
    <w:name w:val="Opi_Quot"/>
    <w:basedOn w:val="ECHRParaQuote"/>
    <w:uiPriority w:val="48"/>
    <w:qFormat/>
    <w:rsid w:val="00D23690"/>
  </w:style>
  <w:style w:type="paragraph" w:customStyle="1" w:styleId="OpiQuotSub">
    <w:name w:val="Opi_Quot_Sub"/>
    <w:basedOn w:val="JuQuotSub"/>
    <w:uiPriority w:val="49"/>
    <w:qFormat/>
    <w:rsid w:val="00D23690"/>
  </w:style>
  <w:style w:type="paragraph" w:customStyle="1" w:styleId="JuTitle">
    <w:name w:val="Ju_Title"/>
    <w:basedOn w:val="Normal"/>
    <w:next w:val="ECHRPara"/>
    <w:uiPriority w:val="3"/>
    <w:rsid w:val="00D23690"/>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D23690"/>
    <w:pPr>
      <w:ind w:left="567"/>
    </w:pPr>
  </w:style>
  <w:style w:type="paragraph" w:customStyle="1" w:styleId="JuInitialled">
    <w:name w:val="Ju_Initialled"/>
    <w:basedOn w:val="Normal"/>
    <w:uiPriority w:val="31"/>
    <w:qFormat/>
    <w:rsid w:val="00D23690"/>
    <w:pPr>
      <w:tabs>
        <w:tab w:val="center" w:pos="6407"/>
      </w:tabs>
      <w:spacing w:before="720"/>
      <w:jc w:val="right"/>
    </w:pPr>
    <w:rPr>
      <w:lang w:val="fr-FR" w:eastAsia="fr-FR"/>
    </w:rPr>
  </w:style>
  <w:style w:type="paragraph" w:styleId="ListParagraph">
    <w:name w:val="List Paragraph"/>
    <w:basedOn w:val="Normal"/>
    <w:uiPriority w:val="99"/>
    <w:semiHidden/>
    <w:qFormat/>
    <w:rsid w:val="00D23690"/>
    <w:pPr>
      <w:ind w:left="720"/>
      <w:contextualSpacing/>
    </w:pPr>
    <w:rPr>
      <w:lang w:val="fr-FR" w:eastAsia="fr-FR"/>
    </w:rPr>
  </w:style>
  <w:style w:type="paragraph" w:styleId="Quote">
    <w:name w:val="Quote"/>
    <w:basedOn w:val="Normal"/>
    <w:next w:val="Normal"/>
    <w:link w:val="QuoteChar"/>
    <w:uiPriority w:val="99"/>
    <w:semiHidden/>
    <w:qFormat/>
    <w:rsid w:val="00D23690"/>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D23690"/>
    <w:rPr>
      <w:rFonts w:eastAsiaTheme="minorEastAsia"/>
      <w:i/>
      <w:iCs/>
      <w:lang w:bidi="en-US"/>
    </w:rPr>
  </w:style>
  <w:style w:type="character" w:styleId="SubtleReference">
    <w:name w:val="Subtle Reference"/>
    <w:uiPriority w:val="99"/>
    <w:semiHidden/>
    <w:qFormat/>
    <w:rsid w:val="00D23690"/>
    <w:rPr>
      <w:smallCaps/>
    </w:rPr>
  </w:style>
  <w:style w:type="table" w:styleId="TableGrid">
    <w:name w:val="Table Grid"/>
    <w:basedOn w:val="TableNormal"/>
    <w:uiPriority w:val="59"/>
    <w:semiHidden/>
    <w:rsid w:val="00D23690"/>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23690"/>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D23690"/>
    <w:pPr>
      <w:spacing w:after="60"/>
      <w:ind w:left="680" w:right="340" w:hanging="340"/>
    </w:pPr>
  </w:style>
  <w:style w:type="paragraph" w:styleId="TOC3">
    <w:name w:val="toc 3"/>
    <w:basedOn w:val="Normal"/>
    <w:next w:val="Normal"/>
    <w:autoRedefine/>
    <w:uiPriority w:val="99"/>
    <w:semiHidden/>
    <w:rsid w:val="00D23690"/>
    <w:pPr>
      <w:spacing w:after="60"/>
      <w:ind w:left="1020" w:right="340" w:hanging="340"/>
    </w:pPr>
  </w:style>
  <w:style w:type="paragraph" w:styleId="TOC4">
    <w:name w:val="toc 4"/>
    <w:basedOn w:val="Normal"/>
    <w:next w:val="Normal"/>
    <w:autoRedefine/>
    <w:uiPriority w:val="99"/>
    <w:semiHidden/>
    <w:rsid w:val="00D23690"/>
    <w:pPr>
      <w:tabs>
        <w:tab w:val="right" w:leader="dot" w:pos="9017"/>
      </w:tabs>
      <w:spacing w:after="60"/>
      <w:ind w:left="1361" w:right="340" w:hanging="340"/>
    </w:pPr>
  </w:style>
  <w:style w:type="paragraph" w:styleId="TOC5">
    <w:name w:val="toc 5"/>
    <w:basedOn w:val="Normal"/>
    <w:next w:val="Normal"/>
    <w:autoRedefine/>
    <w:uiPriority w:val="99"/>
    <w:semiHidden/>
    <w:rsid w:val="00D23690"/>
    <w:pPr>
      <w:spacing w:after="60"/>
      <w:ind w:left="1701" w:right="340" w:hanging="340"/>
    </w:pPr>
  </w:style>
  <w:style w:type="paragraph" w:styleId="TOCHeading">
    <w:name w:val="TOC Heading"/>
    <w:basedOn w:val="Heading1"/>
    <w:next w:val="Normal"/>
    <w:uiPriority w:val="99"/>
    <w:semiHidden/>
    <w:qFormat/>
    <w:rsid w:val="00D23690"/>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uiPriority w:val="27"/>
    <w:qFormat/>
    <w:rsid w:val="00D23690"/>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D23690"/>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D23690"/>
    <w:pPr>
      <w:tabs>
        <w:tab w:val="clear" w:pos="357"/>
      </w:tabs>
      <w:outlineLvl w:val="1"/>
    </w:pPr>
    <w:rPr>
      <w:b/>
    </w:rPr>
  </w:style>
  <w:style w:type="paragraph" w:customStyle="1" w:styleId="ECHRTitleCentre1">
    <w:name w:val="ECHR_Title_Centre_1"/>
    <w:aliases w:val="Opi_H_Head"/>
    <w:basedOn w:val="Normal"/>
    <w:next w:val="OpiPara"/>
    <w:uiPriority w:val="39"/>
    <w:qFormat/>
    <w:rsid w:val="00D23690"/>
    <w:pPr>
      <w:keepNext/>
      <w:keepLines/>
      <w:spacing w:after="240"/>
      <w:jc w:val="center"/>
      <w:outlineLvl w:val="0"/>
    </w:pPr>
    <w:rPr>
      <w:rFonts w:asciiTheme="majorHAnsi" w:hAnsiTheme="majorHAnsi"/>
      <w:sz w:val="28"/>
      <w:lang w:val="fr-FR" w:eastAsia="fr-FR"/>
    </w:rPr>
  </w:style>
  <w:style w:type="character" w:customStyle="1" w:styleId="JUNAMES">
    <w:name w:val="JU_NAMES"/>
    <w:uiPriority w:val="17"/>
    <w:qFormat/>
    <w:rsid w:val="00D23690"/>
    <w:rPr>
      <w:caps w:val="0"/>
      <w:smallCaps/>
    </w:rPr>
  </w:style>
  <w:style w:type="character" w:customStyle="1" w:styleId="JuITMark">
    <w:name w:val="Ju_ITMark"/>
    <w:basedOn w:val="DefaultParagraphFont"/>
    <w:uiPriority w:val="38"/>
    <w:qFormat/>
    <w:rsid w:val="00D23690"/>
    <w:rPr>
      <w:vanish w:val="0"/>
      <w:color w:val="auto"/>
      <w:sz w:val="14"/>
    </w:rPr>
  </w:style>
  <w:style w:type="paragraph" w:customStyle="1" w:styleId="OpiTranslation">
    <w:name w:val="Opi_Translation"/>
    <w:basedOn w:val="Normal"/>
    <w:next w:val="OpiPara"/>
    <w:uiPriority w:val="40"/>
    <w:qFormat/>
    <w:rsid w:val="00D23690"/>
    <w:pPr>
      <w:jc w:val="center"/>
      <w:outlineLvl w:val="0"/>
    </w:pPr>
    <w:rPr>
      <w:i/>
      <w:lang w:val="fr-FR" w:eastAsia="fr-FR"/>
    </w:rPr>
  </w:style>
  <w:style w:type="paragraph" w:customStyle="1" w:styleId="DecHTitle">
    <w:name w:val="Dec_H_Title"/>
    <w:basedOn w:val="ECHRTitleCentre1"/>
    <w:uiPriority w:val="7"/>
    <w:rsid w:val="00D23690"/>
  </w:style>
  <w:style w:type="paragraph" w:customStyle="1" w:styleId="JuCourt">
    <w:name w:val="Ju_Court"/>
    <w:basedOn w:val="Normal"/>
    <w:next w:val="Normal"/>
    <w:uiPriority w:val="16"/>
    <w:qFormat/>
    <w:rsid w:val="00D23690"/>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Normal"/>
    <w:uiPriority w:val="9"/>
    <w:rsid w:val="00D23690"/>
    <w:pPr>
      <w:spacing w:before="240"/>
      <w:ind w:left="284"/>
    </w:pPr>
  </w:style>
  <w:style w:type="paragraph" w:styleId="TOAHeading">
    <w:name w:val="toa heading"/>
    <w:basedOn w:val="Normal"/>
    <w:next w:val="Normal"/>
    <w:uiPriority w:val="99"/>
    <w:semiHidden/>
    <w:rsid w:val="00D23690"/>
    <w:pPr>
      <w:spacing w:before="120"/>
    </w:pPr>
    <w:rPr>
      <w:rFonts w:asciiTheme="majorHAnsi" w:eastAsiaTheme="majorEastAsia" w:hAnsiTheme="majorHAnsi" w:cstheme="majorBidi"/>
      <w:b/>
      <w:bCs/>
      <w:color w:val="474747" w:themeColor="accent3" w:themeShade="BF"/>
      <w:szCs w:val="24"/>
    </w:rPr>
  </w:style>
  <w:style w:type="paragraph" w:customStyle="1" w:styleId="ECHRHeading3">
    <w:name w:val="ECHR_Heading_3"/>
    <w:aliases w:val="Ju_H_1."/>
    <w:basedOn w:val="Heading3"/>
    <w:next w:val="ECHRPara"/>
    <w:uiPriority w:val="21"/>
    <w:qFormat/>
    <w:rsid w:val="00D23690"/>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D23690"/>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D2369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D23690"/>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D23690"/>
    <w:pPr>
      <w:keepNext/>
      <w:keepLines/>
      <w:spacing w:before="240" w:after="120"/>
      <w:ind w:left="1236"/>
    </w:pPr>
    <w:rPr>
      <w:sz w:val="20"/>
    </w:rPr>
  </w:style>
  <w:style w:type="paragraph" w:customStyle="1" w:styleId="OpiH1">
    <w:name w:val="Opi_H_1"/>
    <w:basedOn w:val="ECHRHeading2"/>
    <w:uiPriority w:val="42"/>
    <w:qFormat/>
    <w:rsid w:val="00D23690"/>
    <w:pPr>
      <w:ind w:left="635" w:hanging="357"/>
      <w:outlineLvl w:val="2"/>
    </w:pPr>
  </w:style>
  <w:style w:type="paragraph" w:customStyle="1" w:styleId="OpiHa0">
    <w:name w:val="Opi_H_a"/>
    <w:basedOn w:val="ECHRHeading3"/>
    <w:uiPriority w:val="43"/>
    <w:qFormat/>
    <w:rsid w:val="00D23690"/>
    <w:pPr>
      <w:ind w:left="833" w:hanging="357"/>
      <w:outlineLvl w:val="3"/>
    </w:pPr>
    <w:rPr>
      <w:b/>
      <w:i w:val="0"/>
      <w:sz w:val="20"/>
    </w:rPr>
  </w:style>
  <w:style w:type="paragraph" w:customStyle="1" w:styleId="OpiHi">
    <w:name w:val="Opi_H_i"/>
    <w:basedOn w:val="ECHRHeading4"/>
    <w:uiPriority w:val="44"/>
    <w:qFormat/>
    <w:rsid w:val="00D23690"/>
    <w:pPr>
      <w:ind w:left="1037" w:hanging="357"/>
      <w:outlineLvl w:val="4"/>
    </w:pPr>
    <w:rPr>
      <w:b w:val="0"/>
      <w:i/>
    </w:rPr>
  </w:style>
  <w:style w:type="table" w:customStyle="1" w:styleId="ECHRListTable">
    <w:name w:val="ECHR_List_Table"/>
    <w:basedOn w:val="TableNormal"/>
    <w:uiPriority w:val="99"/>
    <w:rsid w:val="00D23690"/>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oList"/>
    <w:uiPriority w:val="99"/>
    <w:semiHidden/>
    <w:rsid w:val="000C4043"/>
    <w:pPr>
      <w:numPr>
        <w:numId w:val="3"/>
      </w:numPr>
    </w:pPr>
  </w:style>
  <w:style w:type="numbering" w:styleId="1ai">
    <w:name w:val="Outline List 1"/>
    <w:basedOn w:val="NoList"/>
    <w:uiPriority w:val="99"/>
    <w:semiHidden/>
    <w:rsid w:val="000C4043"/>
    <w:pPr>
      <w:numPr>
        <w:numId w:val="4"/>
      </w:numPr>
    </w:pPr>
  </w:style>
  <w:style w:type="numbering" w:styleId="ArticleSection">
    <w:name w:val="Outline List 3"/>
    <w:basedOn w:val="NoList"/>
    <w:uiPriority w:val="99"/>
    <w:semiHidden/>
    <w:rsid w:val="000C4043"/>
    <w:pPr>
      <w:numPr>
        <w:numId w:val="5"/>
      </w:numPr>
    </w:pPr>
  </w:style>
  <w:style w:type="paragraph" w:styleId="Bibliography">
    <w:name w:val="Bibliography"/>
    <w:basedOn w:val="Normal"/>
    <w:next w:val="Normal"/>
    <w:uiPriority w:val="99"/>
    <w:semiHidden/>
    <w:unhideWhenUsed/>
    <w:rsid w:val="000C4043"/>
  </w:style>
  <w:style w:type="paragraph" w:styleId="BlockText">
    <w:name w:val="Block Text"/>
    <w:basedOn w:val="Normal"/>
    <w:uiPriority w:val="99"/>
    <w:semiHidden/>
    <w:rsid w:val="000C404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rsid w:val="000C4043"/>
    <w:rPr>
      <w:rFonts w:eastAsiaTheme="minorEastAsia"/>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rsid w:val="000C4043"/>
    <w:rPr>
      <w:rFonts w:eastAsiaTheme="minorEastAsia"/>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rsid w:val="000C4043"/>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rsid w:val="000C4043"/>
    <w:rPr>
      <w:rFonts w:eastAsiaTheme="minorEastAsia"/>
      <w:sz w:val="24"/>
      <w:lang w:val="en-US" w:eastAsia="en-US"/>
    </w:rPr>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rsid w:val="000C4043"/>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rsid w:val="000C4043"/>
    <w:rPr>
      <w:rFonts w:eastAsiaTheme="minorEastAsia"/>
      <w:sz w:val="24"/>
      <w:lang w:val="en-US" w:eastAsia="en-US"/>
    </w:rPr>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rsid w:val="000C4043"/>
    <w:rPr>
      <w:rFonts w:eastAsiaTheme="minorEastAsia"/>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rsid w:val="000C4043"/>
    <w:rPr>
      <w:rFonts w:eastAsiaTheme="minorEastAsia"/>
      <w:sz w:val="16"/>
      <w:szCs w:val="16"/>
      <w:lang w:val="en-US" w:eastAsia="en-US"/>
    </w:rPr>
  </w:style>
  <w:style w:type="paragraph" w:styleId="Caption">
    <w:name w:val="caption"/>
    <w:basedOn w:val="Normal"/>
    <w:next w:val="Normal"/>
    <w:uiPriority w:val="99"/>
    <w:semiHidden/>
    <w:qFormat/>
    <w:rsid w:val="000C4043"/>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rsid w:val="000C4043"/>
    <w:rPr>
      <w:rFonts w:eastAsiaTheme="minorEastAsia"/>
      <w:sz w:val="24"/>
      <w:lang w:val="en-US" w:eastAsia="en-US"/>
    </w:rPr>
  </w:style>
  <w:style w:type="table" w:styleId="ColorfulGrid">
    <w:name w:val="Colorful Grid"/>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C404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C404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C404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C404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C404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C404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C404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C404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C404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C404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C404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C404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C404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C404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C404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C404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C404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C404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C404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C404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C404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C404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rsid w:val="000C4043"/>
    <w:rPr>
      <w:rFonts w:eastAsiaTheme="minorEastAsia"/>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rsid w:val="000C4043"/>
    <w:rPr>
      <w:rFonts w:eastAsiaTheme="minorEastAsia"/>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C404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C4043"/>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rsid w:val="000C4043"/>
    <w:rPr>
      <w:rFonts w:eastAsiaTheme="minorEastAsia"/>
      <w:i/>
      <w:iCs/>
      <w:sz w:val="24"/>
      <w:lang w:val="en-US" w:eastAsia="en-US"/>
    </w:rPr>
  </w:style>
  <w:style w:type="character" w:styleId="HTMLCite">
    <w:name w:val="HTML Cite"/>
    <w:basedOn w:val="DefaultParagraphFont"/>
    <w:uiPriority w:val="99"/>
    <w:semiHidden/>
    <w:rsid w:val="000C4043"/>
    <w:rPr>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rsid w:val="000C4043"/>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rFonts w:asciiTheme="majorHAnsi" w:eastAsiaTheme="majorEastAsia" w:hAnsiTheme="majorHAnsi" w:cstheme="majorBidi"/>
      <w:b/>
      <w:bCs/>
    </w:rPr>
  </w:style>
  <w:style w:type="table" w:styleId="LightGrid">
    <w:name w:val="Light Grid"/>
    <w:basedOn w:val="TableNormal"/>
    <w:uiPriority w:val="99"/>
    <w:semiHidden/>
    <w:rsid w:val="000C40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C404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C404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C404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C404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C404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C404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C40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C404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C404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C404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C404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C404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C404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C40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C404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C404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C404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C404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C404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C404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C4043"/>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6"/>
      </w:numPr>
      <w:contextualSpacing/>
    </w:pPr>
  </w:style>
  <w:style w:type="paragraph" w:styleId="ListBullet3">
    <w:name w:val="List Bullet 3"/>
    <w:basedOn w:val="Normal"/>
    <w:uiPriority w:val="99"/>
    <w:semiHidden/>
    <w:rsid w:val="000C4043"/>
    <w:pPr>
      <w:numPr>
        <w:numId w:val="7"/>
      </w:numPr>
      <w:contextualSpacing/>
    </w:pPr>
  </w:style>
  <w:style w:type="paragraph" w:styleId="ListBullet4">
    <w:name w:val="List Bullet 4"/>
    <w:basedOn w:val="Normal"/>
    <w:uiPriority w:val="99"/>
    <w:semiHidden/>
    <w:rsid w:val="000C4043"/>
    <w:pPr>
      <w:numPr>
        <w:numId w:val="8"/>
      </w:numPr>
      <w:contextualSpacing/>
    </w:pPr>
  </w:style>
  <w:style w:type="paragraph" w:styleId="ListBullet5">
    <w:name w:val="List Bullet 5"/>
    <w:basedOn w:val="Normal"/>
    <w:uiPriority w:val="99"/>
    <w:semiHidden/>
    <w:rsid w:val="000C4043"/>
    <w:pPr>
      <w:numPr>
        <w:numId w:val="9"/>
      </w:numPr>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10"/>
      </w:numPr>
      <w:contextualSpacing/>
    </w:pPr>
  </w:style>
  <w:style w:type="paragraph" w:styleId="ListNumber2">
    <w:name w:val="List Number 2"/>
    <w:basedOn w:val="Normal"/>
    <w:uiPriority w:val="99"/>
    <w:semiHidden/>
    <w:rsid w:val="000C4043"/>
    <w:pPr>
      <w:numPr>
        <w:numId w:val="11"/>
      </w:numPr>
      <w:contextualSpacing/>
    </w:pPr>
  </w:style>
  <w:style w:type="paragraph" w:styleId="ListNumber3">
    <w:name w:val="List Number 3"/>
    <w:basedOn w:val="Normal"/>
    <w:uiPriority w:val="99"/>
    <w:semiHidden/>
    <w:rsid w:val="000C4043"/>
    <w:pPr>
      <w:numPr>
        <w:numId w:val="12"/>
      </w:numPr>
      <w:contextualSpacing/>
    </w:pPr>
  </w:style>
  <w:style w:type="paragraph" w:styleId="ListNumber4">
    <w:name w:val="List Number 4"/>
    <w:basedOn w:val="Normal"/>
    <w:uiPriority w:val="99"/>
    <w:semiHidden/>
    <w:rsid w:val="000C4043"/>
    <w:pPr>
      <w:numPr>
        <w:numId w:val="13"/>
      </w:numPr>
      <w:contextualSpacing/>
    </w:pPr>
  </w:style>
  <w:style w:type="paragraph" w:styleId="ListNumber5">
    <w:name w:val="List Number 5"/>
    <w:basedOn w:val="Normal"/>
    <w:uiPriority w:val="99"/>
    <w:semiHidden/>
    <w:rsid w:val="000C4043"/>
    <w:pPr>
      <w:numPr>
        <w:numId w:val="14"/>
      </w:numPr>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0C4043"/>
    <w:rPr>
      <w:rFonts w:ascii="Consolas" w:eastAsiaTheme="minorEastAsia" w:hAnsi="Consolas" w:cs="Consolas"/>
      <w:sz w:val="20"/>
      <w:szCs w:val="20"/>
      <w:lang w:val="en-US" w:eastAsia="en-US"/>
    </w:rPr>
  </w:style>
  <w:style w:type="table" w:styleId="MediumGrid1">
    <w:name w:val="Medium Grid 1"/>
    <w:basedOn w:val="TableNormal"/>
    <w:uiPriority w:val="99"/>
    <w:semiHidden/>
    <w:rsid w:val="000C40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C404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C404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C404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C404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C404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C404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C404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C40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C404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C404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C404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C404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C404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C404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C404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C40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C404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C404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C404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C404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C404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C404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C4043"/>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C4043"/>
    <w:rPr>
      <w:rFonts w:ascii="Times New Roman" w:hAnsi="Times New Roman" w:cs="Times New Roman"/>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rsid w:val="000C4043"/>
    <w:rPr>
      <w:rFonts w:eastAsiaTheme="minorEastAsia"/>
      <w:sz w:val="24"/>
      <w:lang w:val="en-US" w:eastAsia="en-US"/>
    </w:rPr>
  </w:style>
  <w:style w:type="character" w:styleId="PlaceholderText">
    <w:name w:val="Placeholder Text"/>
    <w:basedOn w:val="DefaultParagraphFont"/>
    <w:uiPriority w:val="99"/>
    <w:semiHidden/>
    <w:rsid w:val="000C4043"/>
    <w:rPr>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rsid w:val="000C4043"/>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rsid w:val="000C4043"/>
    <w:rPr>
      <w:rFonts w:eastAsiaTheme="minorEastAsia"/>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rsid w:val="000C4043"/>
    <w:rPr>
      <w:rFonts w:eastAsiaTheme="minorEastAsia"/>
      <w:sz w:val="24"/>
      <w:lang w:val="en-US" w:eastAsia="en-US"/>
    </w:rPr>
  </w:style>
  <w:style w:type="table" w:styleId="Table3Deffects1">
    <w:name w:val="Table 3D effects 1"/>
    <w:basedOn w:val="TableNormal"/>
    <w:uiPriority w:val="99"/>
    <w:semiHidden/>
    <w:rsid w:val="000C404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C404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C404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C404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paragraph" w:customStyle="1" w:styleId="DummyStyle">
    <w:name w:val="Dummy_Style"/>
    <w:basedOn w:val="Normal"/>
    <w:semiHidden/>
    <w:qFormat/>
    <w:rsid w:val="00D23690"/>
    <w:rPr>
      <w:color w:val="00B050"/>
      <w:lang w:val="fr-FR" w:eastAsia="fr-FR"/>
    </w:rPr>
  </w:style>
  <w:style w:type="character" w:customStyle="1" w:styleId="JuQuotChar">
    <w:name w:val="Ju_Quot Char"/>
    <w:link w:val="ECHRParaQuote"/>
    <w:uiPriority w:val="14"/>
    <w:locked/>
    <w:rsid w:val="000C2F44"/>
    <w:rPr>
      <w:rFonts w:eastAsiaTheme="minorEastAsia"/>
      <w:sz w:val="20"/>
    </w:rPr>
  </w:style>
  <w:style w:type="character" w:customStyle="1" w:styleId="JuParaCar">
    <w:name w:val="Ju_Para Car"/>
    <w:uiPriority w:val="12"/>
    <w:rsid w:val="004E503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26825-C0D8-44C0-ADBE-E61BD99DA5A6}"/>
</file>

<file path=customXml/itemProps2.xml><?xml version="1.0" encoding="utf-8"?>
<ds:datastoreItem xmlns:ds="http://schemas.openxmlformats.org/officeDocument/2006/customXml" ds:itemID="{3118C62E-6553-4D01-A69E-C78840B92AAB}"/>
</file>

<file path=customXml/itemProps3.xml><?xml version="1.0" encoding="utf-8"?>
<ds:datastoreItem xmlns:ds="http://schemas.openxmlformats.org/officeDocument/2006/customXml" ds:itemID="{C0AFB21E-1C49-4C1F-950D-E6CEAEDCCAF6}"/>
</file>

<file path=customXml/itemProps4.xml><?xml version="1.0" encoding="utf-8"?>
<ds:datastoreItem xmlns:ds="http://schemas.openxmlformats.org/officeDocument/2006/customXml" ds:itemID="{C370B52A-218C-4380-912B-97379F0E4002}"/>
</file>

<file path=docProps/app.xml><?xml version="1.0" encoding="utf-8"?>
<Properties xmlns="http://schemas.openxmlformats.org/officeDocument/2006/extended-properties" xmlns:vt="http://schemas.openxmlformats.org/officeDocument/2006/docPropsVTypes">
  <Template>Normal.dotm</Template>
  <TotalTime>5</TotalTime>
  <Pages>1</Pages>
  <Words>7560</Words>
  <Characters>43094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DF2.1a PA examen conjoint</vt:lpstr>
    </vt:vector>
  </TitlesOfParts>
  <Manager/>
  <Company/>
  <LinksUpToDate>false</LinksUpToDate>
  <CharactersWithSpaces>50553</CharactersWithSpaces>
  <SharedDoc>false</SharedDoc>
  <HLinks>
    <vt:vector size="6" baseType="variant">
      <vt:variant>
        <vt:i4>4587613</vt:i4>
      </vt:variant>
      <vt:variant>
        <vt:i4>0</vt:i4>
      </vt:variant>
      <vt:variant>
        <vt:i4>0</vt:i4>
      </vt:variant>
      <vt:variant>
        <vt:i4>5</vt:i4>
      </vt:variant>
      <vt:variant>
        <vt:lpwstr>http://insite.dhcour.coe.int/link/tikitlink.asp?doc=2309499&amp;lib=court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2</cp:revision>
  <cp:lastPrinted>2015-09-08T14:14:00Z</cp:lastPrinted>
  <dcterms:created xsi:type="dcterms:W3CDTF">2015-10-06T07:49:00Z</dcterms:created>
  <dcterms:modified xsi:type="dcterms:W3CDTF">2015-10-06T07:49:00Z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