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B3" w:rsidRDefault="00C907B3">
      <w:pPr>
        <w:jc w:val="center"/>
      </w:pPr>
    </w:p>
    <w:p w:rsidR="00C907B3" w:rsidRDefault="00C907B3">
      <w:pPr>
        <w:jc w:val="center"/>
      </w:pPr>
    </w:p>
    <w:p w:rsidR="00EC6427" w:rsidRPr="00906641" w:rsidRDefault="00EC6427">
      <w:pPr>
        <w:jc w:val="center"/>
      </w:pPr>
    </w:p>
    <w:p w:rsidR="00EC6427" w:rsidRPr="00906641" w:rsidRDefault="00906641">
      <w:pPr>
        <w:jc w:val="center"/>
      </w:pPr>
      <w:r w:rsidRPr="00906641">
        <w:t>PREMIÈRE SECTION</w:t>
      </w:r>
    </w:p>
    <w:p w:rsidR="00C907B3" w:rsidRDefault="00C907B3">
      <w:pPr>
        <w:jc w:val="center"/>
      </w:pPr>
    </w:p>
    <w:p w:rsidR="00C907B3" w:rsidRDefault="00C907B3">
      <w:pPr>
        <w:jc w:val="center"/>
      </w:pPr>
    </w:p>
    <w:p w:rsidR="00C907B3" w:rsidRDefault="00C907B3">
      <w:pPr>
        <w:jc w:val="center"/>
      </w:pPr>
    </w:p>
    <w:p w:rsidR="00C907B3" w:rsidRDefault="00C907B3">
      <w:pPr>
        <w:jc w:val="center"/>
      </w:pPr>
    </w:p>
    <w:p w:rsidR="00C907B3" w:rsidRDefault="00C907B3">
      <w:pPr>
        <w:jc w:val="center"/>
      </w:pPr>
    </w:p>
    <w:p w:rsidR="00EC6427" w:rsidRPr="00906641" w:rsidRDefault="00EC6427">
      <w:pPr>
        <w:jc w:val="center"/>
      </w:pPr>
    </w:p>
    <w:p w:rsidR="00EC6427" w:rsidRPr="00906641" w:rsidRDefault="00EC6427">
      <w:pPr>
        <w:jc w:val="center"/>
        <w:rPr>
          <w:b/>
        </w:rPr>
      </w:pPr>
      <w:bookmarkStart w:id="0" w:name="To"/>
      <w:r w:rsidRPr="00906641">
        <w:rPr>
          <w:b/>
        </w:rPr>
        <w:t xml:space="preserve">AFFAIRE </w:t>
      </w:r>
      <w:bookmarkEnd w:id="0"/>
      <w:r w:rsidR="00906641" w:rsidRPr="00906641">
        <w:rPr>
          <w:b/>
        </w:rPr>
        <w:t>BUBULLIMA c. GRÈCE</w:t>
      </w:r>
    </w:p>
    <w:p w:rsidR="00EC6427" w:rsidRPr="00906641" w:rsidRDefault="00EC6427">
      <w:pPr>
        <w:jc w:val="center"/>
      </w:pPr>
    </w:p>
    <w:p w:rsidR="00EC6427" w:rsidRPr="00906641" w:rsidRDefault="00EC6427">
      <w:pPr>
        <w:jc w:val="center"/>
        <w:rPr>
          <w:i/>
        </w:rPr>
      </w:pPr>
      <w:r w:rsidRPr="00906641">
        <w:rPr>
          <w:i/>
        </w:rPr>
        <w:t>(</w:t>
      </w:r>
      <w:r w:rsidR="00906641" w:rsidRPr="00906641">
        <w:rPr>
          <w:i/>
        </w:rPr>
        <w:t>Requête n</w:t>
      </w:r>
      <w:r w:rsidR="00906641" w:rsidRPr="00906641">
        <w:rPr>
          <w:i/>
          <w:vertAlign w:val="superscript"/>
        </w:rPr>
        <w:t>o</w:t>
      </w:r>
      <w:r w:rsidR="00906641" w:rsidRPr="00906641">
        <w:rPr>
          <w:i/>
        </w:rPr>
        <w:t xml:space="preserve"> 41533/08</w:t>
      </w:r>
      <w:r w:rsidRPr="00906641">
        <w:rPr>
          <w:i/>
        </w:rPr>
        <w:t>)</w:t>
      </w:r>
    </w:p>
    <w:p w:rsidR="00C907B3" w:rsidRPr="007360D6" w:rsidRDefault="00C907B3" w:rsidP="00C907B3">
      <w:pPr>
        <w:jc w:val="center"/>
        <w:rPr>
          <w:szCs w:val="24"/>
        </w:rPr>
      </w:pPr>
    </w:p>
    <w:p w:rsidR="00C907B3" w:rsidRPr="007360D6" w:rsidRDefault="00C907B3" w:rsidP="00C907B3">
      <w:pPr>
        <w:jc w:val="center"/>
        <w:rPr>
          <w:szCs w:val="24"/>
        </w:rPr>
      </w:pPr>
    </w:p>
    <w:p w:rsidR="00C907B3" w:rsidRPr="007360D6" w:rsidRDefault="00C907B3" w:rsidP="00C907B3">
      <w:pPr>
        <w:jc w:val="center"/>
        <w:rPr>
          <w:szCs w:val="24"/>
        </w:rPr>
      </w:pPr>
    </w:p>
    <w:p w:rsidR="00C907B3" w:rsidRPr="007360D6" w:rsidRDefault="00C907B3" w:rsidP="00C907B3">
      <w:pPr>
        <w:jc w:val="center"/>
        <w:rPr>
          <w:szCs w:val="24"/>
        </w:rPr>
      </w:pPr>
    </w:p>
    <w:p w:rsidR="00C907B3" w:rsidRPr="007360D6" w:rsidRDefault="00C907B3" w:rsidP="00C907B3">
      <w:pPr>
        <w:jc w:val="center"/>
        <w:rPr>
          <w:szCs w:val="24"/>
        </w:rPr>
      </w:pPr>
    </w:p>
    <w:p w:rsidR="00C907B3" w:rsidRPr="007360D6" w:rsidRDefault="00C907B3" w:rsidP="00C907B3">
      <w:pPr>
        <w:jc w:val="center"/>
        <w:rPr>
          <w:szCs w:val="24"/>
        </w:rPr>
      </w:pPr>
    </w:p>
    <w:p w:rsidR="00C907B3" w:rsidRPr="007360D6" w:rsidRDefault="00C907B3" w:rsidP="00C907B3">
      <w:pPr>
        <w:jc w:val="center"/>
        <w:rPr>
          <w:szCs w:val="24"/>
        </w:rPr>
      </w:pPr>
      <w:r w:rsidRPr="007360D6">
        <w:rPr>
          <w:szCs w:val="24"/>
        </w:rPr>
        <w:t>ARRÊT</w:t>
      </w:r>
    </w:p>
    <w:p w:rsidR="00C907B3" w:rsidRPr="007360D6" w:rsidRDefault="00C907B3" w:rsidP="00C907B3">
      <w:pPr>
        <w:jc w:val="center"/>
        <w:rPr>
          <w:szCs w:val="24"/>
        </w:rPr>
      </w:pPr>
    </w:p>
    <w:p w:rsidR="00C907B3" w:rsidRPr="00410613" w:rsidRDefault="00410613" w:rsidP="00C907B3">
      <w:pPr>
        <w:jc w:val="center"/>
        <w:rPr>
          <w:i/>
          <w:szCs w:val="24"/>
        </w:rPr>
      </w:pPr>
      <w:r w:rsidRPr="00410613">
        <w:rPr>
          <w:i/>
          <w:szCs w:val="24"/>
        </w:rPr>
        <w:t>Cette version a été rectifiée conformément à l</w:t>
      </w:r>
      <w:r w:rsidR="0058131A">
        <w:rPr>
          <w:i/>
          <w:szCs w:val="24"/>
        </w:rPr>
        <w:t>'</w:t>
      </w:r>
      <w:r w:rsidRPr="00410613">
        <w:rPr>
          <w:i/>
          <w:szCs w:val="24"/>
        </w:rPr>
        <w:t>article 81 du règlement de la Cour le 18 novembre 2010</w:t>
      </w:r>
    </w:p>
    <w:p w:rsidR="00C907B3" w:rsidRPr="007360D6" w:rsidRDefault="00C907B3" w:rsidP="00C907B3">
      <w:pPr>
        <w:jc w:val="center"/>
        <w:rPr>
          <w:szCs w:val="24"/>
        </w:rPr>
      </w:pPr>
    </w:p>
    <w:p w:rsidR="00C907B3" w:rsidRPr="007360D6" w:rsidRDefault="00C907B3" w:rsidP="00C907B3">
      <w:pPr>
        <w:jc w:val="center"/>
        <w:rPr>
          <w:szCs w:val="24"/>
        </w:rPr>
      </w:pPr>
      <w:r w:rsidRPr="007360D6">
        <w:rPr>
          <w:szCs w:val="24"/>
        </w:rPr>
        <w:t>STRASBOURG</w:t>
      </w:r>
    </w:p>
    <w:p w:rsidR="00C907B3" w:rsidRPr="007360D6" w:rsidRDefault="00C907B3" w:rsidP="00C907B3">
      <w:pPr>
        <w:jc w:val="center"/>
        <w:rPr>
          <w:szCs w:val="24"/>
        </w:rPr>
      </w:pPr>
    </w:p>
    <w:p w:rsidR="00C907B3" w:rsidRPr="007360D6" w:rsidRDefault="00C907B3" w:rsidP="00C907B3">
      <w:pPr>
        <w:jc w:val="center"/>
        <w:rPr>
          <w:szCs w:val="24"/>
        </w:rPr>
      </w:pPr>
      <w:r w:rsidRPr="007360D6">
        <w:rPr>
          <w:szCs w:val="24"/>
        </w:rPr>
        <w:t>28 octobre 2010</w:t>
      </w:r>
    </w:p>
    <w:p w:rsidR="00C907B3" w:rsidRPr="007360D6" w:rsidRDefault="00C907B3" w:rsidP="00C907B3">
      <w:pPr>
        <w:jc w:val="center"/>
        <w:rPr>
          <w:szCs w:val="24"/>
        </w:rPr>
      </w:pPr>
    </w:p>
    <w:p w:rsidR="0058131A" w:rsidRPr="00295CD8" w:rsidRDefault="0058131A" w:rsidP="0058131A">
      <w:pPr>
        <w:jc w:val="center"/>
        <w:rPr>
          <w:b/>
          <w:color w:val="FF0000"/>
          <w:szCs w:val="24"/>
          <w:u w:val="single"/>
        </w:rPr>
      </w:pPr>
      <w:bookmarkStart w:id="1" w:name="OLE_LINK16"/>
      <w:bookmarkStart w:id="2" w:name="OLE_LINK17"/>
      <w:bookmarkStart w:id="3" w:name="OLE_LINK18"/>
      <w:bookmarkStart w:id="4" w:name="OLE_LINK19"/>
      <w:bookmarkStart w:id="5" w:name="OLE_LINK20"/>
      <w:bookmarkStart w:id="6" w:name="OLE_LINK23"/>
      <w:bookmarkStart w:id="7" w:name="OLE_LINK25"/>
      <w:bookmarkStart w:id="8" w:name="OLE_LINK29"/>
      <w:bookmarkStart w:id="9" w:name="OLE_LINK33"/>
      <w:r w:rsidRPr="00295CD8">
        <w:rPr>
          <w:b/>
          <w:color w:val="FF0000"/>
          <w:szCs w:val="24"/>
          <w:u w:val="single"/>
        </w:rPr>
        <w:t>DÉFINITIF</w:t>
      </w:r>
    </w:p>
    <w:p w:rsidR="0058131A" w:rsidRPr="00295CD8" w:rsidRDefault="0058131A" w:rsidP="0058131A">
      <w:pPr>
        <w:jc w:val="center"/>
        <w:rPr>
          <w:b/>
          <w:color w:val="FF0000"/>
          <w:szCs w:val="24"/>
          <w:u w:val="single"/>
        </w:rPr>
      </w:pPr>
    </w:p>
    <w:p w:rsidR="0058131A" w:rsidRDefault="0058131A" w:rsidP="0058131A">
      <w:pPr>
        <w:jc w:val="center"/>
        <w:rPr>
          <w:i/>
          <w:color w:val="FF0000"/>
          <w:szCs w:val="24"/>
        </w:rPr>
      </w:pPr>
      <w:r>
        <w:rPr>
          <w:i/>
          <w:color w:val="FF0000"/>
          <w:szCs w:val="24"/>
        </w:rPr>
        <w:t>28/01/2011</w:t>
      </w:r>
    </w:p>
    <w:p w:rsidR="0058131A" w:rsidRPr="00DF51E5" w:rsidRDefault="0058131A" w:rsidP="0058131A">
      <w:pPr>
        <w:jc w:val="center"/>
        <w:rPr>
          <w:i/>
          <w:color w:val="FF0000"/>
          <w:szCs w:val="24"/>
        </w:rPr>
      </w:pPr>
    </w:p>
    <w:p w:rsidR="0058131A" w:rsidRPr="00431ED5" w:rsidRDefault="0058131A" w:rsidP="0058131A">
      <w:pPr>
        <w:jc w:val="both"/>
        <w:rPr>
          <w:sz w:val="22"/>
        </w:rPr>
      </w:pPr>
      <w:r>
        <w:rPr>
          <w:i/>
          <w:sz w:val="22"/>
        </w:rPr>
        <w:t>Cet arrêt est devenu définitif en vertu de l'article 44 § 2 de la Convention. Il peut subir des retouches de forme.</w:t>
      </w:r>
    </w:p>
    <w:bookmarkEnd w:id="1"/>
    <w:bookmarkEnd w:id="2"/>
    <w:bookmarkEnd w:id="3"/>
    <w:bookmarkEnd w:id="4"/>
    <w:bookmarkEnd w:id="5"/>
    <w:bookmarkEnd w:id="6"/>
    <w:bookmarkEnd w:id="7"/>
    <w:bookmarkEnd w:id="8"/>
    <w:bookmarkEnd w:id="9"/>
    <w:p w:rsidR="00C907B3" w:rsidRDefault="00C907B3">
      <w:pPr>
        <w:pStyle w:val="JuCase"/>
        <w:sectPr w:rsidR="00C907B3" w:rsidSect="00C907B3">
          <w:headerReference w:type="default" r:id="rId9"/>
          <w:footerReference w:type="default" r:id="rId10"/>
          <w:footnotePr>
            <w:numRestart w:val="eachPage"/>
          </w:footnotePr>
          <w:pgSz w:w="11906" w:h="16838" w:code="9"/>
          <w:pgMar w:top="2274" w:right="2274" w:bottom="2274" w:left="2274" w:header="1701" w:footer="720" w:gutter="0"/>
          <w:pgNumType w:start="1"/>
          <w:cols w:space="720"/>
          <w:docGrid w:linePitch="254"/>
        </w:sectPr>
      </w:pPr>
    </w:p>
    <w:p w:rsidR="00EC6427" w:rsidRPr="00906641" w:rsidRDefault="00EC6427">
      <w:pPr>
        <w:pStyle w:val="JuCase"/>
      </w:pPr>
      <w:r w:rsidRPr="00906641">
        <w:t>En l</w:t>
      </w:r>
      <w:r w:rsidR="0058131A">
        <w:t>'</w:t>
      </w:r>
      <w:r w:rsidRPr="00906641">
        <w:t xml:space="preserve">affaire </w:t>
      </w:r>
      <w:r w:rsidR="00906641" w:rsidRPr="00906641">
        <w:t>Bubullima c. Grèce</w:t>
      </w:r>
      <w:r w:rsidRPr="00906641">
        <w:t>,</w:t>
      </w:r>
    </w:p>
    <w:p w:rsidR="00362D1F" w:rsidRPr="00906641" w:rsidRDefault="00EC6427" w:rsidP="00362D1F">
      <w:pPr>
        <w:pStyle w:val="JuPara"/>
      </w:pPr>
      <w:r w:rsidRPr="00906641">
        <w:t xml:space="preserve">La Cour européenne des </w:t>
      </w:r>
      <w:r w:rsidR="00445E54" w:rsidRPr="00906641">
        <w:t>d</w:t>
      </w:r>
      <w:r w:rsidRPr="00906641">
        <w:t>roits de l</w:t>
      </w:r>
      <w:r w:rsidR="0058131A">
        <w:t>'</w:t>
      </w:r>
      <w:r w:rsidR="00445E54" w:rsidRPr="00906641">
        <w:t>h</w:t>
      </w:r>
      <w:r w:rsidRPr="00906641">
        <w:t>omme</w:t>
      </w:r>
      <w:r w:rsidR="00DE593D" w:rsidRPr="00906641">
        <w:t xml:space="preserve"> (</w:t>
      </w:r>
      <w:r w:rsidR="00906641" w:rsidRPr="00906641">
        <w:t>première section</w:t>
      </w:r>
      <w:r w:rsidR="00DE593D" w:rsidRPr="00906641">
        <w:t>)</w:t>
      </w:r>
      <w:r w:rsidRPr="00906641">
        <w:t xml:space="preserve">, siégeant en </w:t>
      </w:r>
      <w:r w:rsidR="00906641" w:rsidRPr="00906641">
        <w:t>une chambre composée</w:t>
      </w:r>
      <w:r w:rsidR="004702BA" w:rsidRPr="00906641">
        <w:t xml:space="preserve"> </w:t>
      </w:r>
      <w:r w:rsidR="00362D1F" w:rsidRPr="00906641">
        <w:t>de :</w:t>
      </w:r>
    </w:p>
    <w:p w:rsidR="0009234F" w:rsidRPr="00906641" w:rsidRDefault="00C907B3" w:rsidP="0009234F">
      <w:pPr>
        <w:pStyle w:val="JuJudges"/>
      </w:pPr>
      <w:r w:rsidRPr="00C907B3">
        <w:tab/>
        <w:t>Nina</w:t>
      </w:r>
      <w:r>
        <w:t xml:space="preserve"> </w:t>
      </w:r>
      <w:r w:rsidRPr="00C907B3">
        <w:t>Vajić</w:t>
      </w:r>
      <w:r>
        <w:t>,</w:t>
      </w:r>
      <w:r w:rsidRPr="00C907B3">
        <w:rPr>
          <w:i/>
        </w:rPr>
        <w:t xml:space="preserve"> présidente,</w:t>
      </w:r>
      <w:r>
        <w:rPr>
          <w:i/>
        </w:rPr>
        <w:br/>
      </w:r>
      <w:r w:rsidRPr="00C907B3">
        <w:tab/>
        <w:t>Christos</w:t>
      </w:r>
      <w:r>
        <w:t xml:space="preserve"> </w:t>
      </w:r>
      <w:r w:rsidRPr="00C907B3">
        <w:t>Rozakis</w:t>
      </w:r>
      <w:r>
        <w:t>,</w:t>
      </w:r>
      <w:r>
        <w:rPr>
          <w:i/>
        </w:rPr>
        <w:br/>
      </w:r>
      <w:r w:rsidRPr="00C907B3">
        <w:tab/>
        <w:t>Khanlar</w:t>
      </w:r>
      <w:r>
        <w:t xml:space="preserve"> </w:t>
      </w:r>
      <w:r w:rsidRPr="00C907B3">
        <w:t>Hajiyev</w:t>
      </w:r>
      <w:r>
        <w:t>,</w:t>
      </w:r>
      <w:r>
        <w:rPr>
          <w:i/>
        </w:rPr>
        <w:br/>
      </w:r>
      <w:r w:rsidRPr="00C907B3">
        <w:tab/>
        <w:t>Dean</w:t>
      </w:r>
      <w:r>
        <w:t xml:space="preserve"> </w:t>
      </w:r>
      <w:r w:rsidRPr="00C907B3">
        <w:t>Spielmann</w:t>
      </w:r>
      <w:r>
        <w:t>,</w:t>
      </w:r>
      <w:r>
        <w:rPr>
          <w:i/>
        </w:rPr>
        <w:br/>
      </w:r>
      <w:r w:rsidRPr="00C907B3">
        <w:tab/>
        <w:t>Sverre Erik</w:t>
      </w:r>
      <w:r>
        <w:t xml:space="preserve"> </w:t>
      </w:r>
      <w:r w:rsidRPr="00C907B3">
        <w:t>Jebens</w:t>
      </w:r>
      <w:r>
        <w:t>,</w:t>
      </w:r>
      <w:r>
        <w:rPr>
          <w:i/>
        </w:rPr>
        <w:br/>
      </w:r>
      <w:r w:rsidRPr="00C907B3">
        <w:tab/>
        <w:t>Giorgio</w:t>
      </w:r>
      <w:r>
        <w:t xml:space="preserve"> </w:t>
      </w:r>
      <w:r w:rsidRPr="00C907B3">
        <w:t>Malinverni</w:t>
      </w:r>
      <w:r>
        <w:t>,</w:t>
      </w:r>
      <w:r>
        <w:rPr>
          <w:i/>
        </w:rPr>
        <w:br/>
      </w:r>
      <w:r w:rsidRPr="00C907B3">
        <w:tab/>
        <w:t>George</w:t>
      </w:r>
      <w:r>
        <w:t xml:space="preserve"> </w:t>
      </w:r>
      <w:r w:rsidRPr="00C907B3">
        <w:t>Nicolaou</w:t>
      </w:r>
      <w:r>
        <w:t>,</w:t>
      </w:r>
      <w:r w:rsidRPr="00C907B3">
        <w:rPr>
          <w:i/>
        </w:rPr>
        <w:t xml:space="preserve"> juges,</w:t>
      </w:r>
      <w:r>
        <w:rPr>
          <w:i/>
        </w:rPr>
        <w:br/>
      </w:r>
      <w:r w:rsidR="0009234F" w:rsidRPr="00906641">
        <w:t xml:space="preserve">et de </w:t>
      </w:r>
      <w:r w:rsidR="00906641" w:rsidRPr="00906641">
        <w:t>Søren Nielsen</w:t>
      </w:r>
      <w:r w:rsidR="004E3393" w:rsidRPr="00906641">
        <w:t xml:space="preserve">, </w:t>
      </w:r>
      <w:r w:rsidR="00906641" w:rsidRPr="00906641">
        <w:rPr>
          <w:i/>
        </w:rPr>
        <w:t>greffier</w:t>
      </w:r>
      <w:r w:rsidR="00420859">
        <w:rPr>
          <w:i/>
        </w:rPr>
        <w:t xml:space="preserve"> de section</w:t>
      </w:r>
      <w:r w:rsidR="0009234F" w:rsidRPr="00906641">
        <w:rPr>
          <w:i/>
        </w:rPr>
        <w:t>,</w:t>
      </w:r>
    </w:p>
    <w:p w:rsidR="00EC6427" w:rsidRPr="00906641" w:rsidRDefault="00EC6427">
      <w:pPr>
        <w:pStyle w:val="JuPara"/>
      </w:pPr>
      <w:r w:rsidRPr="00906641">
        <w:t xml:space="preserve">Après en avoir délibéré en chambre du conseil le </w:t>
      </w:r>
      <w:r w:rsidR="00C907B3">
        <w:t>7 octobre 2010</w:t>
      </w:r>
      <w:r w:rsidRPr="00906641">
        <w:t>,</w:t>
      </w:r>
    </w:p>
    <w:p w:rsidR="00EC6427" w:rsidRPr="00906641" w:rsidRDefault="00EC6427">
      <w:pPr>
        <w:pStyle w:val="JuPara"/>
      </w:pPr>
      <w:r w:rsidRPr="00906641">
        <w:t>Rend l</w:t>
      </w:r>
      <w:r w:rsidR="0058131A">
        <w:t>'</w:t>
      </w:r>
      <w:r w:rsidRPr="00906641">
        <w:t>arrêt que voici, adopté à cette date :</w:t>
      </w:r>
    </w:p>
    <w:p w:rsidR="00EC6427" w:rsidRPr="00906641" w:rsidRDefault="00EC6427">
      <w:pPr>
        <w:pStyle w:val="JuHHead"/>
      </w:pPr>
      <w:r w:rsidRPr="00906641">
        <w:t>PROCÉDURE</w:t>
      </w:r>
    </w:p>
    <w:p w:rsidR="007360D6" w:rsidRDefault="00906641" w:rsidP="008D61D1">
      <w:pPr>
        <w:pStyle w:val="JuPara"/>
      </w:pPr>
      <w:r w:rsidRPr="00906641">
        <w:fldChar w:fldCharType="begin"/>
      </w:r>
      <w:r w:rsidRPr="00906641">
        <w:instrText xml:space="preserve"> SEQ level0 \*arabic </w:instrText>
      </w:r>
      <w:r w:rsidRPr="00906641">
        <w:fldChar w:fldCharType="separate"/>
      </w:r>
      <w:r w:rsidR="00377BBB">
        <w:rPr>
          <w:noProof/>
        </w:rPr>
        <w:t>1</w:t>
      </w:r>
      <w:r w:rsidRPr="00906641">
        <w:fldChar w:fldCharType="end"/>
      </w:r>
      <w:r w:rsidR="00EC6427" w:rsidRPr="00906641">
        <w:t>.  A l</w:t>
      </w:r>
      <w:r w:rsidR="0058131A">
        <w:t>'</w:t>
      </w:r>
      <w:r w:rsidR="00EC6427" w:rsidRPr="00906641">
        <w:t>origine de l</w:t>
      </w:r>
      <w:r w:rsidR="0058131A">
        <w:t>'</w:t>
      </w:r>
      <w:r w:rsidR="00EC6427" w:rsidRPr="00906641">
        <w:t xml:space="preserve">affaire </w:t>
      </w:r>
      <w:r w:rsidRPr="00906641">
        <w:t>se trouve une requête (n</w:t>
      </w:r>
      <w:r w:rsidR="00C907B3" w:rsidRPr="00C907B3">
        <w:rPr>
          <w:vertAlign w:val="superscript"/>
        </w:rPr>
        <w:t>o</w:t>
      </w:r>
      <w:r w:rsidRPr="00906641">
        <w:t xml:space="preserve"> 41533/08) dirigée</w:t>
      </w:r>
      <w:r w:rsidR="00EC6427" w:rsidRPr="00906641">
        <w:t xml:space="preserve"> contre </w:t>
      </w:r>
      <w:r w:rsidRPr="00906641">
        <w:t>la République hellénique</w:t>
      </w:r>
      <w:r w:rsidR="00EC6427" w:rsidRPr="00906641">
        <w:t xml:space="preserve"> et dont </w:t>
      </w:r>
      <w:r>
        <w:t>deux</w:t>
      </w:r>
      <w:r w:rsidRPr="00906641">
        <w:t xml:space="preserve"> ressortissants</w:t>
      </w:r>
      <w:r>
        <w:t xml:space="preserve"> albanais</w:t>
      </w:r>
      <w:r w:rsidRPr="00906641">
        <w:t xml:space="preserve">, </w:t>
      </w:r>
      <w:r w:rsidR="00083A02">
        <w:t>MM. </w:t>
      </w:r>
      <w:r w:rsidRPr="00906641">
        <w:t xml:space="preserve">Endri Bubullima et </w:t>
      </w:r>
      <w:r>
        <w:t>Vasillaq Bubullima</w:t>
      </w:r>
      <w:r w:rsidRPr="00906641">
        <w:t xml:space="preserve"> (« les requérants »), ont saisi la Cour</w:t>
      </w:r>
      <w:r>
        <w:t xml:space="preserve"> le</w:t>
      </w:r>
      <w:r w:rsidRPr="00906641">
        <w:t xml:space="preserve"> 12 août 2008</w:t>
      </w:r>
      <w:r w:rsidR="00EC6427" w:rsidRPr="00906641">
        <w:t xml:space="preserve"> en vertu de </w:t>
      </w:r>
      <w:r w:rsidRPr="00906641">
        <w:t>l</w:t>
      </w:r>
      <w:r w:rsidR="0058131A">
        <w:t>'</w:t>
      </w:r>
      <w:r w:rsidRPr="00906641">
        <w:t>article 34</w:t>
      </w:r>
      <w:r w:rsidR="00EC6427" w:rsidRPr="00906641">
        <w:t xml:space="preserve"> de la Convention de sauvegarde des </w:t>
      </w:r>
      <w:r w:rsidR="00445E54" w:rsidRPr="00906641">
        <w:t>d</w:t>
      </w:r>
      <w:r w:rsidR="00EC6427" w:rsidRPr="00906641">
        <w:t>roits de l</w:t>
      </w:r>
      <w:r w:rsidR="0058131A">
        <w:t>'</w:t>
      </w:r>
      <w:r w:rsidR="00445E54" w:rsidRPr="00906641">
        <w:t>h</w:t>
      </w:r>
      <w:r w:rsidR="00DC1AF9" w:rsidRPr="00906641">
        <w:t>omme et des l</w:t>
      </w:r>
      <w:r w:rsidR="00EC6427" w:rsidRPr="00906641">
        <w:t>ibertés fondamentales (« la Convention »).</w:t>
      </w:r>
    </w:p>
    <w:p w:rsidR="00906641" w:rsidRDefault="00906641">
      <w:pPr>
        <w:pStyle w:val="JuPara"/>
      </w:pPr>
      <w:r w:rsidRPr="00906641">
        <w:fldChar w:fldCharType="begin"/>
      </w:r>
      <w:r w:rsidRPr="00906641">
        <w:instrText xml:space="preserve"> SEQ level0 \*arabic </w:instrText>
      </w:r>
      <w:r w:rsidRPr="00906641">
        <w:fldChar w:fldCharType="separate"/>
      </w:r>
      <w:r w:rsidR="00377BBB">
        <w:rPr>
          <w:noProof/>
        </w:rPr>
        <w:t>2</w:t>
      </w:r>
      <w:r w:rsidRPr="00906641">
        <w:fldChar w:fldCharType="end"/>
      </w:r>
      <w:r w:rsidR="00EC6427" w:rsidRPr="00906641">
        <w:t>.  </w:t>
      </w:r>
      <w:r w:rsidRPr="00906641">
        <w:t xml:space="preserve">Les requérants sont représentés par </w:t>
      </w:r>
      <w:r>
        <w:t>M</w:t>
      </w:r>
      <w:r w:rsidRPr="00083A02">
        <w:rPr>
          <w:vertAlign w:val="superscript"/>
        </w:rPr>
        <w:t>es</w:t>
      </w:r>
      <w:r w:rsidR="007360D6">
        <w:t xml:space="preserve"> </w:t>
      </w:r>
      <w:r w:rsidRPr="00906641">
        <w:t xml:space="preserve">E. Poularakis et </w:t>
      </w:r>
      <w:r>
        <w:t>E. Psomiadi</w:t>
      </w:r>
      <w:r w:rsidRPr="00906641">
        <w:t xml:space="preserve">, avocats à </w:t>
      </w:r>
      <w:r>
        <w:t>Athè</w:t>
      </w:r>
      <w:r w:rsidRPr="00906641">
        <w:t xml:space="preserve">nes. </w:t>
      </w:r>
      <w:r w:rsidR="00EC6427" w:rsidRPr="00906641">
        <w:t xml:space="preserve">Le gouvernement </w:t>
      </w:r>
      <w:r w:rsidRPr="00906641">
        <w:t>grec</w:t>
      </w:r>
      <w:r w:rsidR="00EC6427" w:rsidRPr="00906641">
        <w:t xml:space="preserve"> (« le Gouvernement ») </w:t>
      </w:r>
      <w:r w:rsidR="00D603FB" w:rsidRPr="00906641">
        <w:t>a été</w:t>
      </w:r>
      <w:r w:rsidR="00EC6427" w:rsidRPr="00906641">
        <w:t xml:space="preserve"> représenté par </w:t>
      </w:r>
      <w:r>
        <w:t xml:space="preserve">les délégués de </w:t>
      </w:r>
      <w:r w:rsidR="00EC6427" w:rsidRPr="00906641">
        <w:t xml:space="preserve">son agent, </w:t>
      </w:r>
      <w:r w:rsidR="00653F28">
        <w:t>M. K. Georgiadis, assesseur auprès du Conseil juridique de l</w:t>
      </w:r>
      <w:r w:rsidR="0058131A">
        <w:t>'</w:t>
      </w:r>
      <w:r w:rsidR="00653F28">
        <w:t>Etat, et M</w:t>
      </w:r>
      <w:r w:rsidR="00653F28" w:rsidRPr="00083A02">
        <w:rPr>
          <w:vertAlign w:val="superscript"/>
        </w:rPr>
        <w:t>me</w:t>
      </w:r>
      <w:r w:rsidR="00653F28">
        <w:t xml:space="preserve"> M. Yermani, auditrice auprès du Conseil juridique de l</w:t>
      </w:r>
      <w:r w:rsidR="0058131A">
        <w:t>'</w:t>
      </w:r>
      <w:r w:rsidR="00653F28">
        <w:t>Etat.</w:t>
      </w:r>
      <w:r w:rsidR="00A676E8">
        <w:t xml:space="preserve"> </w:t>
      </w:r>
      <w:r w:rsidR="00A676E8">
        <w:rPr>
          <w:color w:val="000000"/>
        </w:rPr>
        <w:t>Informé de son droit de prendr</w:t>
      </w:r>
      <w:r w:rsidR="007360D6">
        <w:rPr>
          <w:color w:val="000000"/>
        </w:rPr>
        <w:t xml:space="preserve">e part à la procédure (articles 36 § 1 de la Convention et 44 § </w:t>
      </w:r>
      <w:r w:rsidR="00A676E8">
        <w:rPr>
          <w:color w:val="000000"/>
        </w:rPr>
        <w:t>1 du règlement), le gouvernement albanais n</w:t>
      </w:r>
      <w:r w:rsidR="0058131A">
        <w:rPr>
          <w:color w:val="000000"/>
        </w:rPr>
        <w:t>'</w:t>
      </w:r>
      <w:r w:rsidR="00A676E8">
        <w:rPr>
          <w:color w:val="000000"/>
        </w:rPr>
        <w:t>a pas répondu.</w:t>
      </w:r>
    </w:p>
    <w:p w:rsidR="00305449" w:rsidRPr="00906641" w:rsidRDefault="00906641">
      <w:pPr>
        <w:pStyle w:val="JuPara"/>
      </w:pPr>
      <w:r w:rsidRPr="00906641">
        <w:fldChar w:fldCharType="begin"/>
      </w:r>
      <w:r w:rsidRPr="00906641">
        <w:instrText xml:space="preserve"> SEQ level0 \*arabic </w:instrText>
      </w:r>
      <w:r w:rsidRPr="00906641">
        <w:fldChar w:fldCharType="separate"/>
      </w:r>
      <w:r w:rsidR="00377BBB">
        <w:rPr>
          <w:noProof/>
        </w:rPr>
        <w:t>3</w:t>
      </w:r>
      <w:r w:rsidRPr="00906641">
        <w:fldChar w:fldCharType="end"/>
      </w:r>
      <w:r w:rsidRPr="00906641">
        <w:t>.  Les requérants</w:t>
      </w:r>
      <w:r>
        <w:t xml:space="preserve"> allè</w:t>
      </w:r>
      <w:r w:rsidRPr="00906641">
        <w:t xml:space="preserve">guent </w:t>
      </w:r>
      <w:r>
        <w:t xml:space="preserve">que </w:t>
      </w:r>
      <w:r w:rsidR="004E7FB5">
        <w:t>les juridictions grecques n</w:t>
      </w:r>
      <w:r w:rsidR="0058131A">
        <w:t>'</w:t>
      </w:r>
      <w:r w:rsidR="004E7FB5">
        <w:t>ont pas statué à bref délai sur la demande de mise en liberté du premier requérant et qu</w:t>
      </w:r>
      <w:r w:rsidR="0058131A">
        <w:t>'</w:t>
      </w:r>
      <w:r w:rsidR="004E7FB5">
        <w:t>aucun recours effectif ne s</w:t>
      </w:r>
      <w:r w:rsidR="0058131A">
        <w:t>'</w:t>
      </w:r>
      <w:r w:rsidR="004E7FB5">
        <w:t>offrait à lui pour con</w:t>
      </w:r>
      <w:smartTag w:uri="urn:schemas-microsoft-com:office:smarttags" w:element="PersonName">
        <w:r w:rsidR="004E7FB5">
          <w:t>test</w:t>
        </w:r>
      </w:smartTag>
      <w:r w:rsidR="004E7FB5">
        <w:t>er la légalité de cette détention.</w:t>
      </w:r>
    </w:p>
    <w:p w:rsidR="00EC6427" w:rsidRPr="00906641" w:rsidRDefault="00906641" w:rsidP="009A0A09">
      <w:pPr>
        <w:pStyle w:val="JuPara"/>
      </w:pPr>
      <w:r w:rsidRPr="00906641">
        <w:fldChar w:fldCharType="begin"/>
      </w:r>
      <w:r w:rsidRPr="00906641">
        <w:instrText xml:space="preserve"> SEQ level0 \*arabic </w:instrText>
      </w:r>
      <w:r w:rsidRPr="00906641">
        <w:fldChar w:fldCharType="separate"/>
      </w:r>
      <w:r w:rsidR="00377BBB">
        <w:rPr>
          <w:noProof/>
        </w:rPr>
        <w:t>4</w:t>
      </w:r>
      <w:r w:rsidRPr="00906641">
        <w:fldChar w:fldCharType="end"/>
      </w:r>
      <w:r w:rsidR="00EC6427" w:rsidRPr="00906641">
        <w:t xml:space="preserve">.  Le </w:t>
      </w:r>
      <w:r w:rsidR="004E7FB5">
        <w:t>6 novembre 2009</w:t>
      </w:r>
      <w:r w:rsidR="00EC6427" w:rsidRPr="00906641">
        <w:t xml:space="preserve">, </w:t>
      </w:r>
      <w:r w:rsidR="004E7FB5">
        <w:t>la</w:t>
      </w:r>
      <w:r w:rsidRPr="00906641">
        <w:t xml:space="preserve"> président</w:t>
      </w:r>
      <w:r w:rsidR="004E7FB5">
        <w:t>e</w:t>
      </w:r>
      <w:r w:rsidRPr="00906641">
        <w:t xml:space="preserve"> de la première section</w:t>
      </w:r>
      <w:r w:rsidR="00EC6427" w:rsidRPr="00906641">
        <w:t xml:space="preserve"> a décidé de communiquer </w:t>
      </w:r>
      <w:r w:rsidRPr="00906641">
        <w:t>la requête</w:t>
      </w:r>
      <w:r w:rsidR="00EC6427" w:rsidRPr="00906641">
        <w:t xml:space="preserve"> au Gouvernement.</w:t>
      </w:r>
      <w:r w:rsidR="00752D87" w:rsidRPr="00906641">
        <w:t xml:space="preserve"> </w:t>
      </w:r>
      <w:r w:rsidRPr="00906641">
        <w:t>Comme le permet l</w:t>
      </w:r>
      <w:r w:rsidR="0058131A">
        <w:t>'</w:t>
      </w:r>
      <w:r w:rsidR="005C0B8E">
        <w:t>article 29 § </w:t>
      </w:r>
      <w:r w:rsidRPr="00906641">
        <w:t xml:space="preserve">1 de la Convention, il a en outre été décidé </w:t>
      </w:r>
      <w:r w:rsidRPr="00906641">
        <w:rPr>
          <w:rStyle w:val="Strong"/>
          <w:b w:val="0"/>
        </w:rPr>
        <w:t>que</w:t>
      </w:r>
      <w:r w:rsidRPr="00906641">
        <w:t xml:space="preserve"> la chambre se prononcerait en même temps sur la recevabilité et le fond.</w:t>
      </w:r>
    </w:p>
    <w:p w:rsidR="00EC6427" w:rsidRPr="00906641" w:rsidRDefault="00EC6427" w:rsidP="00A93D51">
      <w:pPr>
        <w:pStyle w:val="JuHHead"/>
        <w:tabs>
          <w:tab w:val="left" w:pos="5387"/>
        </w:tabs>
      </w:pPr>
      <w:r w:rsidRPr="00906641">
        <w:t>EN FAIT</w:t>
      </w:r>
    </w:p>
    <w:p w:rsidR="00D31210" w:rsidRPr="00906641" w:rsidRDefault="0000732D" w:rsidP="00D31210">
      <w:pPr>
        <w:pStyle w:val="JuHIRoman"/>
      </w:pPr>
      <w:r w:rsidRPr="00906641">
        <w:t>I.  LES CIRCONSTANCES DE L</w:t>
      </w:r>
      <w:r w:rsidR="0058131A">
        <w:t>'</w:t>
      </w:r>
      <w:r w:rsidRPr="00906641">
        <w:t>ESPÈC</w:t>
      </w:r>
      <w:r w:rsidR="00D31210" w:rsidRPr="00906641">
        <w:t>E</w:t>
      </w:r>
    </w:p>
    <w:p w:rsidR="00EC6427" w:rsidRPr="00906641" w:rsidRDefault="00906641" w:rsidP="00D31210">
      <w:pPr>
        <w:pStyle w:val="JuPara"/>
      </w:pPr>
      <w:r w:rsidRPr="00906641">
        <w:fldChar w:fldCharType="begin"/>
      </w:r>
      <w:r w:rsidRPr="00906641">
        <w:instrText xml:space="preserve"> SEQ level0 \*arabic </w:instrText>
      </w:r>
      <w:r w:rsidRPr="00906641">
        <w:fldChar w:fldCharType="separate"/>
      </w:r>
      <w:r w:rsidR="00377BBB">
        <w:rPr>
          <w:noProof/>
        </w:rPr>
        <w:t>5</w:t>
      </w:r>
      <w:r w:rsidRPr="00906641">
        <w:fldChar w:fldCharType="end"/>
      </w:r>
      <w:r w:rsidR="00EC6427" w:rsidRPr="00906641">
        <w:t>.  </w:t>
      </w:r>
      <w:r w:rsidRPr="00906641">
        <w:t xml:space="preserve">Les requérants sont nés respectivement en 1991 et </w:t>
      </w:r>
      <w:r w:rsidR="004E7FB5">
        <w:t>1968</w:t>
      </w:r>
      <w:r w:rsidRPr="00906641">
        <w:t xml:space="preserve"> et résident à </w:t>
      </w:r>
      <w:r>
        <w:t>Athè</w:t>
      </w:r>
      <w:r w:rsidRPr="00906641">
        <w:t>nes.</w:t>
      </w:r>
    </w:p>
    <w:p w:rsidR="00957DDB" w:rsidRDefault="00906641" w:rsidP="00957DDB">
      <w:pPr>
        <w:pStyle w:val="JuPara"/>
      </w:pPr>
      <w:r w:rsidRPr="00906641">
        <w:fldChar w:fldCharType="begin"/>
      </w:r>
      <w:r w:rsidRPr="00906641">
        <w:instrText xml:space="preserve"> SEQ level0 \*arabic </w:instrText>
      </w:r>
      <w:r w:rsidRPr="00906641">
        <w:fldChar w:fldCharType="separate"/>
      </w:r>
      <w:r w:rsidR="00377BBB">
        <w:rPr>
          <w:noProof/>
        </w:rPr>
        <w:t>6</w:t>
      </w:r>
      <w:r w:rsidRPr="00906641">
        <w:fldChar w:fldCharType="end"/>
      </w:r>
      <w:r w:rsidR="00EC6427" w:rsidRPr="00906641">
        <w:t>.  </w:t>
      </w:r>
      <w:r w:rsidR="00957DDB">
        <w:t xml:space="preserve">Le premier requérant était mineur au moment des faits et résidait en Grèce avec son oncle, </w:t>
      </w:r>
      <w:r w:rsidR="00C907B3">
        <w:t xml:space="preserve">le deuxième requérant, </w:t>
      </w:r>
      <w:r w:rsidR="00957DDB">
        <w:t>qui avait, par acte notari</w:t>
      </w:r>
      <w:r w:rsidR="00083A02">
        <w:t>al, assumé l</w:t>
      </w:r>
      <w:r w:rsidR="0058131A">
        <w:t>'</w:t>
      </w:r>
      <w:r w:rsidR="00083A02">
        <w:t>autorité parentale</w:t>
      </w:r>
      <w:r w:rsidR="00957DDB">
        <w:t xml:space="preserve"> en raison de l</w:t>
      </w:r>
      <w:r w:rsidR="0058131A">
        <w:t>'</w:t>
      </w:r>
      <w:r w:rsidR="00957DDB">
        <w:t>impossibilité des parents, qui habitaient en Albanie, de l</w:t>
      </w:r>
      <w:r w:rsidR="0058131A">
        <w:t>'</w:t>
      </w:r>
      <w:r w:rsidR="00957DDB">
        <w:t>entretenir.</w:t>
      </w:r>
    </w:p>
    <w:p w:rsidR="00957DDB" w:rsidRDefault="00B52863" w:rsidP="00957DDB">
      <w:pPr>
        <w:pStyle w:val="JuPara"/>
      </w:pPr>
      <w:r>
        <w:fldChar w:fldCharType="begin"/>
      </w:r>
      <w:r>
        <w:instrText xml:space="preserve"> SEQ level0 \*arabic </w:instrText>
      </w:r>
      <w:r>
        <w:fldChar w:fldCharType="separate"/>
      </w:r>
      <w:r w:rsidR="00377BBB">
        <w:rPr>
          <w:noProof/>
        </w:rPr>
        <w:t>7</w:t>
      </w:r>
      <w:r>
        <w:fldChar w:fldCharType="end"/>
      </w:r>
      <w:r>
        <w:t>.  </w:t>
      </w:r>
      <w:r w:rsidR="00957DDB">
        <w:t>Résidant en Grèce depuis 2004, le premier requérant ne fut pas régularisé en 2007 en vertu d</w:t>
      </w:r>
      <w:r w:rsidR="0058131A">
        <w:t>'</w:t>
      </w:r>
      <w:r w:rsidR="00957DDB">
        <w:t>une loi promulguée cette année et qui prévoyait la possibilité pour les étrangers se trouvant sur le territoire jusqu</w:t>
      </w:r>
      <w:r w:rsidR="0058131A">
        <w:t>'</w:t>
      </w:r>
      <w:r w:rsidR="007360D6">
        <w:t xml:space="preserve">au 31 </w:t>
      </w:r>
      <w:r w:rsidR="00957DDB">
        <w:t>décembre 2004 et n</w:t>
      </w:r>
      <w:r w:rsidR="0058131A">
        <w:t>'</w:t>
      </w:r>
      <w:r w:rsidR="00957DDB">
        <w:t>ayant pas porté atteinte à l</w:t>
      </w:r>
      <w:r w:rsidR="0058131A">
        <w:t>'</w:t>
      </w:r>
      <w:r w:rsidR="00957DDB">
        <w:t>ordre et à la sécurité publics de demander leur régularisation.</w:t>
      </w:r>
      <w:r w:rsidR="00C907B3">
        <w:t xml:space="preserve"> L</w:t>
      </w:r>
      <w:r w:rsidR="0058131A">
        <w:t>'</w:t>
      </w:r>
      <w:r w:rsidR="00957DDB">
        <w:t>autorité compétente refusa de recevoir la demande à cet effet au motif que la loi ne prévoyait pas de régularisation de mineurs dont l</w:t>
      </w:r>
      <w:r w:rsidR="0058131A">
        <w:t>'</w:t>
      </w:r>
      <w:r w:rsidR="00957DDB">
        <w:t>autorité parentale n</w:t>
      </w:r>
      <w:r w:rsidR="0058131A">
        <w:t>'</w:t>
      </w:r>
      <w:r w:rsidR="00957DDB">
        <w:t>était pas exercée par leurs parents.</w:t>
      </w:r>
    </w:p>
    <w:p w:rsidR="00957DDB" w:rsidRDefault="00B52863" w:rsidP="00957DDB">
      <w:pPr>
        <w:pStyle w:val="JuPara"/>
      </w:pPr>
      <w:r>
        <w:fldChar w:fldCharType="begin"/>
      </w:r>
      <w:r>
        <w:instrText xml:space="preserve"> SEQ level0 \*arabic </w:instrText>
      </w:r>
      <w:r>
        <w:fldChar w:fldCharType="separate"/>
      </w:r>
      <w:r w:rsidR="00377BBB">
        <w:rPr>
          <w:noProof/>
        </w:rPr>
        <w:t>8</w:t>
      </w:r>
      <w:r>
        <w:fldChar w:fldCharType="end"/>
      </w:r>
      <w:r>
        <w:t>.  </w:t>
      </w:r>
      <w:r w:rsidR="00957DDB">
        <w:t>Par la suite, le premier requérant fut arrêté par la police des étrangers</w:t>
      </w:r>
      <w:r w:rsidR="00C907B3">
        <w:t>,</w:t>
      </w:r>
      <w:r w:rsidR="00957DDB">
        <w:t xml:space="preserve"> qui engagea une procédure d</w:t>
      </w:r>
      <w:r w:rsidR="0058131A">
        <w:t>'</w:t>
      </w:r>
      <w:r w:rsidR="00957DDB">
        <w:t>expulsion administrative au motif qu</w:t>
      </w:r>
      <w:r w:rsidR="0058131A">
        <w:t>'</w:t>
      </w:r>
      <w:r w:rsidR="00957DDB">
        <w:t>il n</w:t>
      </w:r>
      <w:r w:rsidR="0058131A">
        <w:t>'</w:t>
      </w:r>
      <w:r w:rsidR="00957DDB">
        <w:t>avait pas un titre valable de séjour.</w:t>
      </w:r>
    </w:p>
    <w:p w:rsidR="00957DDB" w:rsidRDefault="00B52863" w:rsidP="00957DDB">
      <w:pPr>
        <w:pStyle w:val="JuPara"/>
      </w:pPr>
      <w:r>
        <w:fldChar w:fldCharType="begin"/>
      </w:r>
      <w:r>
        <w:instrText xml:space="preserve"> SEQ level0 \*arabic </w:instrText>
      </w:r>
      <w:r>
        <w:fldChar w:fldCharType="separate"/>
      </w:r>
      <w:r w:rsidR="00377BBB">
        <w:rPr>
          <w:noProof/>
        </w:rPr>
        <w:t>9</w:t>
      </w:r>
      <w:r>
        <w:fldChar w:fldCharType="end"/>
      </w:r>
      <w:r>
        <w:t>.  </w:t>
      </w:r>
      <w:r w:rsidR="00957DDB">
        <w:t>Par une décision du 9 mai 2008 de la direction de la police des étrangers, le premier requérant fut détenu provisoirement</w:t>
      </w:r>
      <w:r w:rsidR="00083A02">
        <w:t>, d</w:t>
      </w:r>
      <w:r w:rsidR="0058131A">
        <w:t>'</w:t>
      </w:r>
      <w:r w:rsidR="00083A02">
        <w:t>abord à la station de police de Kallipoli du Pirée, puis au centre de détention de mineurs étrangers à Amygdaleza,</w:t>
      </w:r>
      <w:r w:rsidR="00957DDB">
        <w:t xml:space="preserve"> jusqu</w:t>
      </w:r>
      <w:r w:rsidR="0058131A">
        <w:t>'</w:t>
      </w:r>
      <w:r w:rsidR="00957DDB">
        <w:t xml:space="preserve">à ce que la </w:t>
      </w:r>
      <w:r w:rsidR="00083A02">
        <w:t>décision d</w:t>
      </w:r>
      <w:r w:rsidR="0058131A">
        <w:t>'</w:t>
      </w:r>
      <w:r w:rsidR="00083A02">
        <w:t>expulsion soit prise.</w:t>
      </w:r>
    </w:p>
    <w:p w:rsidR="007360D6" w:rsidRDefault="00B52863" w:rsidP="00957DDB">
      <w:pPr>
        <w:pStyle w:val="JuPara"/>
      </w:pPr>
      <w:r>
        <w:fldChar w:fldCharType="begin"/>
      </w:r>
      <w:r>
        <w:instrText xml:space="preserve"> SEQ level0 \*arabic </w:instrText>
      </w:r>
      <w:r>
        <w:fldChar w:fldCharType="separate"/>
      </w:r>
      <w:r w:rsidR="00377BBB">
        <w:rPr>
          <w:noProof/>
        </w:rPr>
        <w:t>10</w:t>
      </w:r>
      <w:r>
        <w:fldChar w:fldCharType="end"/>
      </w:r>
      <w:r>
        <w:t>.  </w:t>
      </w:r>
      <w:r w:rsidR="00957DDB">
        <w:t>Le 12 mai 2008, en vertu de l</w:t>
      </w:r>
      <w:r w:rsidR="0058131A">
        <w:t>'</w:t>
      </w:r>
      <w:r w:rsidR="00957DDB">
        <w:t>article 76 § 3 de la loi 3386/2005 relative à l</w:t>
      </w:r>
      <w:r w:rsidR="0058131A">
        <w:t>'</w:t>
      </w:r>
      <w:r w:rsidR="00957DDB">
        <w:t>entrée, au séjour et à l</w:t>
      </w:r>
      <w:r w:rsidR="0058131A">
        <w:t>'</w:t>
      </w:r>
      <w:r w:rsidR="00957DDB">
        <w:t xml:space="preserve">insertion des ressortissants des pays tiers </w:t>
      </w:r>
      <w:r w:rsidR="00C907B3">
        <w:t xml:space="preserve">sur le </w:t>
      </w:r>
      <w:r w:rsidR="00957DDB">
        <w:t>territoire grec, la direction de la police des étrangers de l</w:t>
      </w:r>
      <w:r w:rsidR="0058131A">
        <w:t>'</w:t>
      </w:r>
      <w:r w:rsidR="00957DDB">
        <w:t>Attique ordonna l</w:t>
      </w:r>
      <w:r w:rsidR="0058131A">
        <w:t>'</w:t>
      </w:r>
      <w:r w:rsidR="00957DDB">
        <w:t>expulsion du premier requérant et son maintien en détention pour éviter tout risque de fuite. La décision lui fut signifiée le 14 mai 2008.</w:t>
      </w:r>
    </w:p>
    <w:p w:rsidR="00957DDB" w:rsidRDefault="00B52863" w:rsidP="00957DDB">
      <w:pPr>
        <w:pStyle w:val="JuPara"/>
      </w:pPr>
      <w:r>
        <w:fldChar w:fldCharType="begin"/>
      </w:r>
      <w:r>
        <w:instrText xml:space="preserve"> SEQ level0 \*arabic </w:instrText>
      </w:r>
      <w:r>
        <w:fldChar w:fldCharType="separate"/>
      </w:r>
      <w:r w:rsidR="00377BBB">
        <w:rPr>
          <w:noProof/>
        </w:rPr>
        <w:t>11</w:t>
      </w:r>
      <w:r>
        <w:fldChar w:fldCharType="end"/>
      </w:r>
      <w:r>
        <w:t>.  </w:t>
      </w:r>
      <w:r w:rsidR="00202ECA">
        <w:t>Le 14 mai 2008</w:t>
      </w:r>
      <w:r w:rsidR="00957DDB">
        <w:t xml:space="preserve">, </w:t>
      </w:r>
      <w:r w:rsidR="00083A02">
        <w:t>s</w:t>
      </w:r>
      <w:r w:rsidR="00957DDB">
        <w:t>es avocats formèrent des objections contre son maintien en détention devant le président du tribunal administratif d</w:t>
      </w:r>
      <w:r w:rsidR="0058131A">
        <w:t>'</w:t>
      </w:r>
      <w:r w:rsidR="00957DDB">
        <w:t>Athènes.</w:t>
      </w:r>
      <w:r w:rsidR="00F0565D">
        <w:t xml:space="preserve"> Le deuxième requérant n</w:t>
      </w:r>
      <w:r w:rsidR="0058131A">
        <w:t>'</w:t>
      </w:r>
      <w:r w:rsidR="00F0565D">
        <w:t>était pas partie à la procédure.</w:t>
      </w:r>
    </w:p>
    <w:p w:rsidR="00957DDB" w:rsidRDefault="00B52863" w:rsidP="00957DDB">
      <w:pPr>
        <w:pStyle w:val="JuPara"/>
      </w:pPr>
      <w:r>
        <w:fldChar w:fldCharType="begin"/>
      </w:r>
      <w:r>
        <w:instrText xml:space="preserve"> SEQ level0 \*arabic </w:instrText>
      </w:r>
      <w:r>
        <w:fldChar w:fldCharType="separate"/>
      </w:r>
      <w:r w:rsidR="00377BBB">
        <w:rPr>
          <w:noProof/>
        </w:rPr>
        <w:t>12</w:t>
      </w:r>
      <w:r>
        <w:fldChar w:fldCharType="end"/>
      </w:r>
      <w:r>
        <w:t>.  </w:t>
      </w:r>
      <w:r w:rsidR="00957DDB">
        <w:t>Par une décision du 27 mai 2008, le président du tribunal administratif considéra que le premier requérant ne risquait pas de fuir, mit fin à sa détention et lui accorda un délai de trente jours pour quitter le territoire.</w:t>
      </w:r>
    </w:p>
    <w:p w:rsidR="00957DDB" w:rsidRDefault="00B52863" w:rsidP="00957DDB">
      <w:pPr>
        <w:pStyle w:val="JuPara"/>
      </w:pPr>
      <w:r>
        <w:fldChar w:fldCharType="begin"/>
      </w:r>
      <w:r>
        <w:instrText xml:space="preserve"> SEQ level0 \*arabic </w:instrText>
      </w:r>
      <w:r>
        <w:fldChar w:fldCharType="separate"/>
      </w:r>
      <w:r w:rsidR="00377BBB">
        <w:rPr>
          <w:noProof/>
        </w:rPr>
        <w:t>13</w:t>
      </w:r>
      <w:r>
        <w:fldChar w:fldCharType="end"/>
      </w:r>
      <w:r>
        <w:t>.  </w:t>
      </w:r>
      <w:r w:rsidR="00957DDB">
        <w:t>Le 20 mai 2008, le premier requérant avait entretemps également introduit un recours contre la décision d</w:t>
      </w:r>
      <w:r w:rsidR="0058131A">
        <w:t>'</w:t>
      </w:r>
      <w:r w:rsidR="00957DDB">
        <w:t>expulsion auprès de la direction de la police des étrangers de l</w:t>
      </w:r>
      <w:r w:rsidR="0058131A">
        <w:t>'</w:t>
      </w:r>
      <w:r w:rsidR="00957DDB">
        <w:t>Attique, conformément à l</w:t>
      </w:r>
      <w:r w:rsidR="0058131A">
        <w:t>'</w:t>
      </w:r>
      <w:r w:rsidR="007360D6">
        <w:t>article 77 de la loi </w:t>
      </w:r>
      <w:r w:rsidR="00957DDB">
        <w:t>3386/2005. Il con</w:t>
      </w:r>
      <w:smartTag w:uri="urn:schemas-microsoft-com:office:smarttags" w:element="PersonName">
        <w:r w:rsidR="00957DDB">
          <w:t>test</w:t>
        </w:r>
      </w:smartTag>
      <w:r w:rsidR="00957DDB">
        <w:t>ait la légalité de cette décision. Plus précisément, il soulignait que l</w:t>
      </w:r>
      <w:r w:rsidR="0058131A">
        <w:t>'</w:t>
      </w:r>
      <w:r w:rsidR="00957DDB">
        <w:t>article 79 de la loi 3386/2005 interdisait l</w:t>
      </w:r>
      <w:r w:rsidR="0058131A">
        <w:t>'</w:t>
      </w:r>
      <w:r w:rsidR="00957DDB">
        <w:t>expulsion d</w:t>
      </w:r>
      <w:r w:rsidR="0058131A">
        <w:t>'</w:t>
      </w:r>
      <w:r w:rsidR="00957DDB">
        <w:t>un étranger mineur lorsque les parents de celui-ci ou les personnes ayant l</w:t>
      </w:r>
      <w:r w:rsidR="0058131A">
        <w:t>'</w:t>
      </w:r>
      <w:r w:rsidR="00957DDB">
        <w:t>autorité parentale résidaient légalement en Grèce, ce qui était le cas de son oncle. Il affirmait qu</w:t>
      </w:r>
      <w:r w:rsidR="0058131A">
        <w:t>'</w:t>
      </w:r>
      <w:r w:rsidR="00957DDB">
        <w:t>il n</w:t>
      </w:r>
      <w:r w:rsidR="0058131A">
        <w:t>'</w:t>
      </w:r>
      <w:r w:rsidR="00957DDB">
        <w:t>avait pas été condamné et que sa présence en Grèce ne constituait pas un danger pour l</w:t>
      </w:r>
      <w:r w:rsidR="0058131A">
        <w:t>'</w:t>
      </w:r>
      <w:r w:rsidR="00957DDB">
        <w:t>ordre public et la sécurité publique.</w:t>
      </w:r>
    </w:p>
    <w:p w:rsidR="00957DDB" w:rsidRDefault="00B52863" w:rsidP="00957DDB">
      <w:pPr>
        <w:pStyle w:val="JuPara"/>
      </w:pPr>
      <w:r>
        <w:fldChar w:fldCharType="begin"/>
      </w:r>
      <w:r>
        <w:instrText xml:space="preserve"> SEQ level0 \*arabic </w:instrText>
      </w:r>
      <w:r>
        <w:fldChar w:fldCharType="separate"/>
      </w:r>
      <w:r w:rsidR="00377BBB">
        <w:rPr>
          <w:noProof/>
        </w:rPr>
        <w:t>14</w:t>
      </w:r>
      <w:r>
        <w:fldChar w:fldCharType="end"/>
      </w:r>
      <w:r>
        <w:t>.  </w:t>
      </w:r>
      <w:r w:rsidR="00957DDB">
        <w:t>Le 23 mai 2008, la direction de la police des étrangers de l</w:t>
      </w:r>
      <w:r w:rsidR="0058131A">
        <w:t>'</w:t>
      </w:r>
      <w:r w:rsidR="00957DDB">
        <w:t>Attique rejeta le recours. Dans sa décision, elle invoquait comme moti</w:t>
      </w:r>
      <w:r w:rsidR="00083A02">
        <w:t>fs</w:t>
      </w:r>
      <w:r w:rsidR="00957DDB">
        <w:t xml:space="preserve"> l</w:t>
      </w:r>
      <w:r w:rsidR="0058131A">
        <w:t>'</w:t>
      </w:r>
      <w:r w:rsidR="00957DDB">
        <w:t xml:space="preserve">entrée illégale sur le territoire </w:t>
      </w:r>
      <w:r w:rsidR="00083A02">
        <w:t>ainsi que</w:t>
      </w:r>
      <w:r w:rsidR="00957DDB">
        <w:t xml:space="preserve"> l</w:t>
      </w:r>
      <w:r w:rsidR="0058131A">
        <w:t>'</w:t>
      </w:r>
      <w:r w:rsidR="00957DDB">
        <w:t>absence de titre de séjour valable. Cette décision fut signifiée à l</w:t>
      </w:r>
      <w:r w:rsidR="0058131A">
        <w:t>'</w:t>
      </w:r>
      <w:r w:rsidR="00957DDB">
        <w:t>avocat du premier requérant le 3 juin 2008.</w:t>
      </w:r>
    </w:p>
    <w:p w:rsidR="00957DDB" w:rsidRDefault="00B52863" w:rsidP="00957DDB">
      <w:pPr>
        <w:pStyle w:val="JuPara"/>
      </w:pPr>
      <w:r>
        <w:fldChar w:fldCharType="begin"/>
      </w:r>
      <w:r>
        <w:instrText xml:space="preserve"> SEQ level0 \*arabic </w:instrText>
      </w:r>
      <w:r>
        <w:fldChar w:fldCharType="separate"/>
      </w:r>
      <w:r w:rsidR="00377BBB">
        <w:rPr>
          <w:noProof/>
        </w:rPr>
        <w:t>15</w:t>
      </w:r>
      <w:r>
        <w:fldChar w:fldCharType="end"/>
      </w:r>
      <w:r>
        <w:t>.  </w:t>
      </w:r>
      <w:r w:rsidR="00957DDB">
        <w:t>Le 4 juin 2008, le premier requérant introduisit un recours en annulation contre cette décision devant le tribunal administratif d</w:t>
      </w:r>
      <w:r w:rsidR="0058131A">
        <w:t>'</w:t>
      </w:r>
      <w:r w:rsidR="00957DDB">
        <w:t>Athènes, ainsi qu</w:t>
      </w:r>
      <w:r w:rsidR="0058131A">
        <w:t>'</w:t>
      </w:r>
      <w:r w:rsidR="00957DDB">
        <w:t>un recours tendant à ce que cette décision et la décision d</w:t>
      </w:r>
      <w:r w:rsidR="0058131A">
        <w:t>'</w:t>
      </w:r>
      <w:r w:rsidR="00957DDB">
        <w:t>expulsion</w:t>
      </w:r>
      <w:r w:rsidR="00C907B3">
        <w:t xml:space="preserve"> soient suspendues</w:t>
      </w:r>
      <w:r w:rsidR="00957DDB">
        <w:t>.</w:t>
      </w:r>
    </w:p>
    <w:p w:rsidR="007360D6" w:rsidRDefault="00B52863" w:rsidP="00957DDB">
      <w:pPr>
        <w:pStyle w:val="JuPara"/>
      </w:pPr>
      <w:r>
        <w:fldChar w:fldCharType="begin"/>
      </w:r>
      <w:r>
        <w:instrText xml:space="preserve"> SEQ level0 \*arabic </w:instrText>
      </w:r>
      <w:r>
        <w:fldChar w:fldCharType="separate"/>
      </w:r>
      <w:r w:rsidR="00377BBB">
        <w:rPr>
          <w:noProof/>
        </w:rPr>
        <w:t>16</w:t>
      </w:r>
      <w:r>
        <w:fldChar w:fldCharType="end"/>
      </w:r>
      <w:r>
        <w:t>.  </w:t>
      </w:r>
      <w:r w:rsidR="00957DDB">
        <w:t>Le 1</w:t>
      </w:r>
      <w:r w:rsidR="00957DDB" w:rsidRPr="00B3560E">
        <w:rPr>
          <w:vertAlign w:val="superscript"/>
        </w:rPr>
        <w:t>er</w:t>
      </w:r>
      <w:r w:rsidR="00957DDB">
        <w:t xml:space="preserve"> juillet 2008, le président du tribunal administratif accorda provisoirement un effet suspensif à ces décisions.</w:t>
      </w:r>
      <w:r w:rsidR="00C524B3">
        <w:t xml:space="preserve"> T</w:t>
      </w:r>
      <w:r w:rsidR="00A576B1">
        <w:t>outefois, par une décision prise le</w:t>
      </w:r>
      <w:r w:rsidR="00C524B3">
        <w:t xml:space="preserve"> 16 novembre 200</w:t>
      </w:r>
      <w:r w:rsidR="00083A02">
        <w:t>8</w:t>
      </w:r>
      <w:r w:rsidR="00A576B1">
        <w:t xml:space="preserve"> et prononcée le 25 novembre</w:t>
      </w:r>
      <w:r w:rsidR="00C524B3">
        <w:t>, la chambre du conseil du tribunal administratif d</w:t>
      </w:r>
      <w:r w:rsidR="0058131A">
        <w:t>'</w:t>
      </w:r>
      <w:r w:rsidR="00C524B3">
        <w:t>Athènes rejeta le recours du requérant dans la mesure où celui-ci visait l</w:t>
      </w:r>
      <w:r w:rsidR="0058131A">
        <w:t>'</w:t>
      </w:r>
      <w:r w:rsidR="00C524B3">
        <w:t>effet suspensif. La chambre du conseil releva que le requérant n</w:t>
      </w:r>
      <w:r w:rsidR="0058131A">
        <w:t>'</w:t>
      </w:r>
      <w:r w:rsidR="00C524B3">
        <w:t>avait jamais obtenu un titre de séjour, n</w:t>
      </w:r>
      <w:r w:rsidR="0058131A">
        <w:t>'</w:t>
      </w:r>
      <w:r w:rsidR="00C524B3">
        <w:t>avait jamais déposé une demande à cet effet et l</w:t>
      </w:r>
      <w:r w:rsidR="0058131A">
        <w:t>'</w:t>
      </w:r>
      <w:r w:rsidR="00C524B3">
        <w:t>effet suspensif n</w:t>
      </w:r>
      <w:r w:rsidR="0058131A">
        <w:t>'</w:t>
      </w:r>
      <w:r w:rsidR="00C524B3">
        <w:t xml:space="preserve">était pas opportun car cela signifierait que le tribunal </w:t>
      </w:r>
      <w:r w:rsidR="00A576B1">
        <w:t>se substituerait à l</w:t>
      </w:r>
      <w:r w:rsidR="0058131A">
        <w:t>'</w:t>
      </w:r>
      <w:r w:rsidR="00A576B1">
        <w:t>administration pour accorder un titre de séjour.</w:t>
      </w:r>
    </w:p>
    <w:p w:rsidR="0000732D" w:rsidRPr="00906641" w:rsidRDefault="00137037" w:rsidP="0000732D">
      <w:pPr>
        <w:pStyle w:val="JuHIRoman"/>
      </w:pPr>
      <w:r>
        <w:t>II.  LE DROIT INTERNE PERTINENT</w:t>
      </w:r>
    </w:p>
    <w:p w:rsidR="00957DDB" w:rsidRDefault="00906641" w:rsidP="00957DDB">
      <w:pPr>
        <w:pStyle w:val="JuPara"/>
      </w:pPr>
      <w:r w:rsidRPr="00906641">
        <w:fldChar w:fldCharType="begin"/>
      </w:r>
      <w:r w:rsidRPr="00906641">
        <w:instrText xml:space="preserve"> SEQ level0 \*arabic </w:instrText>
      </w:r>
      <w:r w:rsidRPr="00906641">
        <w:fldChar w:fldCharType="separate"/>
      </w:r>
      <w:r w:rsidR="00377BBB">
        <w:rPr>
          <w:noProof/>
        </w:rPr>
        <w:t>17</w:t>
      </w:r>
      <w:r w:rsidRPr="00906641">
        <w:fldChar w:fldCharType="end"/>
      </w:r>
      <w:r w:rsidR="0000732D" w:rsidRPr="00906641">
        <w:t>.  </w:t>
      </w:r>
      <w:r w:rsidR="00957DDB">
        <w:t>Les articles 76 (conditions et procédure d</w:t>
      </w:r>
      <w:r w:rsidR="0058131A">
        <w:t>'</w:t>
      </w:r>
      <w:r w:rsidR="00957DDB">
        <w:t>expulsion administrative), 77 (recours contre l</w:t>
      </w:r>
      <w:r w:rsidR="0058131A">
        <w:t>'</w:t>
      </w:r>
      <w:r w:rsidR="00957DDB">
        <w:t>expulsion administrative) et 79 (protection contre l</w:t>
      </w:r>
      <w:r w:rsidR="0058131A">
        <w:t>'</w:t>
      </w:r>
      <w:r w:rsidR="00957DDB">
        <w:t>expulsion) de la loi n</w:t>
      </w:r>
      <w:r w:rsidR="00957DDB" w:rsidRPr="008B1104">
        <w:rPr>
          <w:vertAlign w:val="superscript"/>
        </w:rPr>
        <w:t>o</w:t>
      </w:r>
      <w:r w:rsidR="00957DDB">
        <w:t xml:space="preserve"> 3386/2005 relative à l</w:t>
      </w:r>
      <w:r w:rsidR="0058131A">
        <w:t>'</w:t>
      </w:r>
      <w:r w:rsidR="00957DDB">
        <w:t>entrée, au séjour et à l</w:t>
      </w:r>
      <w:r w:rsidR="0058131A">
        <w:t>'</w:t>
      </w:r>
      <w:r w:rsidR="00957DDB">
        <w:t xml:space="preserve">insertion des ressortissants de pays tiers </w:t>
      </w:r>
      <w:r w:rsidR="00083A02">
        <w:t>sur le</w:t>
      </w:r>
      <w:r w:rsidR="00957DDB">
        <w:t xml:space="preserve"> territoire grec, prévoient ce qui suit :</w:t>
      </w:r>
    </w:p>
    <w:p w:rsidR="00957DDB" w:rsidRPr="00C32E06" w:rsidRDefault="00957DDB" w:rsidP="00957DDB">
      <w:pPr>
        <w:pStyle w:val="JuQuot"/>
        <w:keepNext/>
        <w:keepLines/>
        <w:jc w:val="center"/>
        <w:rPr>
          <w:b/>
        </w:rPr>
      </w:pPr>
      <w:r w:rsidRPr="00C32E06">
        <w:rPr>
          <w:b/>
        </w:rPr>
        <w:t>Article 76</w:t>
      </w:r>
    </w:p>
    <w:p w:rsidR="00957DDB" w:rsidRDefault="00957DDB" w:rsidP="00957DDB">
      <w:pPr>
        <w:pStyle w:val="JuQuot"/>
        <w:keepNext/>
        <w:keepLines/>
      </w:pPr>
      <w:r>
        <w:t>« 1.  L</w:t>
      </w:r>
      <w:r w:rsidR="0058131A">
        <w:t>'</w:t>
      </w:r>
      <w:r>
        <w:t>expulsion administrative d</w:t>
      </w:r>
      <w:r w:rsidR="0058131A">
        <w:t>'</w:t>
      </w:r>
      <w:r>
        <w:t>un étranger est permise lorsque :</w:t>
      </w:r>
    </w:p>
    <w:p w:rsidR="00957DDB" w:rsidRDefault="00957DDB" w:rsidP="00957DDB">
      <w:pPr>
        <w:pStyle w:val="JuQuot"/>
        <w:keepNext/>
        <w:keepLines/>
      </w:pPr>
      <w:r>
        <w:t>(...)</w:t>
      </w:r>
    </w:p>
    <w:p w:rsidR="00957DDB" w:rsidRDefault="007360D6" w:rsidP="00957DDB">
      <w:pPr>
        <w:pStyle w:val="JuQuot"/>
        <w:keepNext/>
        <w:keepLines/>
      </w:pPr>
      <w:r>
        <w:t>c)  </w:t>
      </w:r>
      <w:r w:rsidR="00957DDB">
        <w:t>sa présence sur le territoire grec est dangereuse pour l</w:t>
      </w:r>
      <w:r w:rsidR="0058131A">
        <w:t>'</w:t>
      </w:r>
      <w:r w:rsidR="00957DDB">
        <w:t>ordre public ou la sécurité du pays.</w:t>
      </w:r>
    </w:p>
    <w:p w:rsidR="00957DDB" w:rsidRDefault="00957DDB" w:rsidP="00957DDB">
      <w:pPr>
        <w:pStyle w:val="JuQuot"/>
        <w:keepNext/>
        <w:keepLines/>
      </w:pPr>
      <w:r>
        <w:t>2.  L</w:t>
      </w:r>
      <w:r w:rsidR="0058131A">
        <w:t>'</w:t>
      </w:r>
      <w:r>
        <w:t>expulsion est ordonnée par décision du directeur de la police et (...) après que l</w:t>
      </w:r>
      <w:r w:rsidR="0058131A">
        <w:t>'</w:t>
      </w:r>
      <w:r>
        <w:t>étranger ait bénéficié d</w:t>
      </w:r>
      <w:r w:rsidR="0058131A">
        <w:t>'</w:t>
      </w:r>
      <w:r>
        <w:t>un délai d</w:t>
      </w:r>
      <w:r w:rsidR="0058131A">
        <w:t>'</w:t>
      </w:r>
      <w:r>
        <w:t>au moins quarante-huit heures pour déposer ses objections.</w:t>
      </w:r>
    </w:p>
    <w:p w:rsidR="00957DDB" w:rsidRDefault="00957DDB" w:rsidP="00957DDB">
      <w:pPr>
        <w:pStyle w:val="JuQuot"/>
      </w:pPr>
      <w:r>
        <w:t>3.  Lorsque l</w:t>
      </w:r>
      <w:r w:rsidR="0058131A">
        <w:t>'</w:t>
      </w:r>
      <w:r>
        <w:t>étranger est considéré comme susceptible de fuir ou dangereux pour l</w:t>
      </w:r>
      <w:r w:rsidR="0058131A">
        <w:t>'</w:t>
      </w:r>
      <w:r>
        <w:t>ordre public, les organes mentionnés au paragraphe précédent ordonnent sa détention provisoire jusqu</w:t>
      </w:r>
      <w:r w:rsidR="0058131A">
        <w:t>'</w:t>
      </w:r>
      <w:r>
        <w:t>à l</w:t>
      </w:r>
      <w:r w:rsidR="0058131A">
        <w:t>'</w:t>
      </w:r>
      <w:r>
        <w:t>adoption, dans un délai de trois jours, de la décision d</w:t>
      </w:r>
      <w:r w:rsidR="0058131A">
        <w:t>'</w:t>
      </w:r>
      <w:r w:rsidR="00083A02">
        <w:t>éloignement</w:t>
      </w:r>
      <w:r>
        <w:t xml:space="preserve"> (...). L</w:t>
      </w:r>
      <w:r w:rsidR="0058131A">
        <w:t>'</w:t>
      </w:r>
      <w:r>
        <w:t>étranger détenu, peut (...) former des objections à l</w:t>
      </w:r>
      <w:r w:rsidR="0058131A">
        <w:t>'</w:t>
      </w:r>
      <w:r>
        <w:t>encontre de la décision ordonnant la détention, devant le président (...) du tribunal administratif (...).</w:t>
      </w:r>
    </w:p>
    <w:p w:rsidR="00957DDB" w:rsidRDefault="00957DDB" w:rsidP="00957DDB">
      <w:pPr>
        <w:pStyle w:val="JuQuot"/>
      </w:pPr>
      <w:r>
        <w:t>4.  Au cas où l</w:t>
      </w:r>
      <w:r w:rsidR="0058131A">
        <w:t>'</w:t>
      </w:r>
      <w:r>
        <w:t>étranger détenu sous écrou extraditionnel n</w:t>
      </w:r>
      <w:r w:rsidR="0058131A">
        <w:t>'</w:t>
      </w:r>
      <w:r>
        <w:t>est pas considéré comme susceptible de fuir ou dangereux pour l</w:t>
      </w:r>
      <w:r w:rsidR="0058131A">
        <w:t>'</w:t>
      </w:r>
      <w:r>
        <w:t>ordre public, ou si le président du tribunal administratif s</w:t>
      </w:r>
      <w:r w:rsidR="0058131A">
        <w:t>'</w:t>
      </w:r>
      <w:r>
        <w:t>oppose à la détention de celui-ci, il lui est fixé un délai pour quitter le territoire, qui ne peut dépasser trente jours.</w:t>
      </w:r>
    </w:p>
    <w:p w:rsidR="00957DDB" w:rsidRDefault="00957DDB" w:rsidP="00957DDB">
      <w:pPr>
        <w:pStyle w:val="JuQuot"/>
      </w:pPr>
      <w:r>
        <w:t>5.  La décision mentionnée aux paragraphes 3 et 4 de cet article peut être révoquée à la requête des parties, si la demande est fondée sur des faits nouveaux (...). »</w:t>
      </w:r>
    </w:p>
    <w:p w:rsidR="00957DDB" w:rsidRPr="00C32E06" w:rsidRDefault="00957DDB" w:rsidP="00083A02">
      <w:pPr>
        <w:pStyle w:val="JuQuot"/>
        <w:keepNext/>
        <w:keepLines/>
        <w:jc w:val="center"/>
        <w:rPr>
          <w:b/>
        </w:rPr>
      </w:pPr>
      <w:r w:rsidRPr="00C32E06">
        <w:rPr>
          <w:b/>
        </w:rPr>
        <w:t>Article 77</w:t>
      </w:r>
    </w:p>
    <w:p w:rsidR="00957DDB" w:rsidRDefault="00957DDB" w:rsidP="00083A02">
      <w:pPr>
        <w:pStyle w:val="JuQuot"/>
        <w:keepNext/>
        <w:keepLines/>
      </w:pPr>
      <w:r>
        <w:t>« L</w:t>
      </w:r>
      <w:r w:rsidR="0058131A">
        <w:t>'</w:t>
      </w:r>
      <w:r>
        <w:t>étranger a le droit d</w:t>
      </w:r>
      <w:r w:rsidR="0058131A">
        <w:t>'</w:t>
      </w:r>
      <w:r>
        <w:t>exercer un recours contre la décision d</w:t>
      </w:r>
      <w:r w:rsidR="0058131A">
        <w:t>'</w:t>
      </w:r>
      <w:r>
        <w:t>expulsion, dans un délai de cinq jours à compter de sa notification, au ministre de l</w:t>
      </w:r>
      <w:r w:rsidR="0058131A">
        <w:t>'</w:t>
      </w:r>
      <w:r>
        <w:t>Ordre public (...). La décision est rendue dans un délai de trois jours ouvrables à compter de l</w:t>
      </w:r>
      <w:r w:rsidR="0058131A">
        <w:t>'</w:t>
      </w:r>
      <w:r>
        <w:t>introduction du recours. L</w:t>
      </w:r>
      <w:r w:rsidR="0058131A">
        <w:t>'</w:t>
      </w:r>
      <w:r>
        <w:t>exercice du recours entraîne la suspension de l</w:t>
      </w:r>
      <w:r w:rsidR="0058131A">
        <w:t>'</w:t>
      </w:r>
      <w:r>
        <w:t>exécution de la décision. Dans le cas où la détention est ordonnée en même temps que la décision d</w:t>
      </w:r>
      <w:r w:rsidR="0058131A">
        <w:t>'</w:t>
      </w:r>
      <w:r>
        <w:t>expulsion, la suspension concerne seulement l</w:t>
      </w:r>
      <w:r w:rsidR="0058131A">
        <w:t>'</w:t>
      </w:r>
      <w:r>
        <w:t>expulsion. »</w:t>
      </w:r>
    </w:p>
    <w:p w:rsidR="00957DDB" w:rsidRPr="007C3261" w:rsidRDefault="00957DDB" w:rsidP="00957DDB">
      <w:pPr>
        <w:pStyle w:val="JuQuot"/>
        <w:jc w:val="center"/>
        <w:rPr>
          <w:b/>
        </w:rPr>
      </w:pPr>
      <w:r w:rsidRPr="007C3261">
        <w:rPr>
          <w:b/>
        </w:rPr>
        <w:t>Article 79</w:t>
      </w:r>
    </w:p>
    <w:p w:rsidR="00957DDB" w:rsidRDefault="007360D6" w:rsidP="00957DDB">
      <w:pPr>
        <w:pStyle w:val="JuQuot"/>
      </w:pPr>
      <w:r>
        <w:t>« 1.  </w:t>
      </w:r>
      <w:r w:rsidR="00957DDB">
        <w:t>L</w:t>
      </w:r>
      <w:r w:rsidR="0058131A">
        <w:t>'</w:t>
      </w:r>
      <w:r w:rsidR="00957DDB">
        <w:t>expulsion est interdite lorsque l</w:t>
      </w:r>
      <w:r w:rsidR="0058131A">
        <w:t>'</w:t>
      </w:r>
      <w:r w:rsidR="00957DDB">
        <w:t>étranger :</w:t>
      </w:r>
    </w:p>
    <w:p w:rsidR="00957DDB" w:rsidRDefault="00957DDB" w:rsidP="00957DDB">
      <w:pPr>
        <w:pStyle w:val="JuQuot"/>
      </w:pPr>
      <w:r>
        <w:t>a) est mineur et ses parents ou les personnes qui exercent l</w:t>
      </w:r>
      <w:r w:rsidR="0058131A">
        <w:t>'</w:t>
      </w:r>
      <w:r>
        <w:t>autorité parentale résident légalement en Grèce ;</w:t>
      </w:r>
    </w:p>
    <w:p w:rsidR="00957DDB" w:rsidRDefault="00957DDB" w:rsidP="00957DDB">
      <w:pPr>
        <w:pStyle w:val="JuQuot"/>
      </w:pPr>
      <w:r>
        <w:t>(...) »</w:t>
      </w:r>
    </w:p>
    <w:p w:rsidR="00EC6427" w:rsidRPr="00906641" w:rsidRDefault="00EC6427">
      <w:pPr>
        <w:pStyle w:val="JuHHead"/>
      </w:pPr>
      <w:r w:rsidRPr="00906641">
        <w:t>EN DROIT</w:t>
      </w:r>
    </w:p>
    <w:p w:rsidR="00EC6427" w:rsidRPr="00906641" w:rsidRDefault="00EC6427">
      <w:pPr>
        <w:pStyle w:val="JuHIRoman"/>
      </w:pPr>
      <w:r w:rsidRPr="00906641">
        <w:t>I.  SUR LA VIOLATION ALLÉGUÉE DE L</w:t>
      </w:r>
      <w:r w:rsidR="0058131A">
        <w:t>'</w:t>
      </w:r>
      <w:r w:rsidRPr="00906641">
        <w:t xml:space="preserve">ARTICLE </w:t>
      </w:r>
      <w:r w:rsidR="00957DDB">
        <w:t>5 § 4</w:t>
      </w:r>
      <w:r w:rsidRPr="00906641">
        <w:t xml:space="preserve"> DE LA CONVENTION</w:t>
      </w:r>
    </w:p>
    <w:p w:rsidR="0023732D" w:rsidRPr="00BE57BF" w:rsidRDefault="00906641" w:rsidP="0023732D">
      <w:pPr>
        <w:pStyle w:val="JuPara"/>
      </w:pPr>
      <w:r w:rsidRPr="00906641">
        <w:fldChar w:fldCharType="begin"/>
      </w:r>
      <w:r w:rsidRPr="00906641">
        <w:instrText xml:space="preserve"> SEQ level0 \*arabic </w:instrText>
      </w:r>
      <w:r w:rsidRPr="00906641">
        <w:fldChar w:fldCharType="separate"/>
      </w:r>
      <w:r w:rsidR="00377BBB">
        <w:rPr>
          <w:noProof/>
        </w:rPr>
        <w:t>18</w:t>
      </w:r>
      <w:r w:rsidRPr="00906641">
        <w:fldChar w:fldCharType="end"/>
      </w:r>
      <w:r w:rsidR="00EC6427" w:rsidRPr="00906641">
        <w:t>.  </w:t>
      </w:r>
      <w:r w:rsidRPr="00906641">
        <w:t>Les requérants allèguent</w:t>
      </w:r>
      <w:r w:rsidR="0023732D" w:rsidRPr="00BE57BF">
        <w:t xml:space="preserve"> </w:t>
      </w:r>
      <w:r w:rsidR="0023732D">
        <w:t>que les juridictions grecques n</w:t>
      </w:r>
      <w:r w:rsidR="0058131A">
        <w:t>'</w:t>
      </w:r>
      <w:r w:rsidR="0023732D">
        <w:t>ont pas statué à bref délai sur la demande de mise en liberté du premier requérant et qu</w:t>
      </w:r>
      <w:r w:rsidR="0058131A">
        <w:t>'</w:t>
      </w:r>
      <w:r w:rsidR="0023732D">
        <w:t>aucun recours effectif ne s</w:t>
      </w:r>
      <w:r w:rsidR="0058131A">
        <w:t>'</w:t>
      </w:r>
      <w:r w:rsidR="0023732D">
        <w:t>offrait à lui pour con</w:t>
      </w:r>
      <w:smartTag w:uri="urn:schemas-microsoft-com:office:smarttags" w:element="PersonName">
        <w:r w:rsidR="0023732D">
          <w:t>test</w:t>
        </w:r>
      </w:smartTag>
      <w:r w:rsidR="0023732D">
        <w:t>er la légalité de cette détention. Ils invoquent l</w:t>
      </w:r>
      <w:r w:rsidR="0058131A">
        <w:t>'</w:t>
      </w:r>
      <w:r w:rsidR="0023732D">
        <w:t>article 5 § 4 de la Convention qui se lit ainsi :</w:t>
      </w:r>
    </w:p>
    <w:p w:rsidR="0023732D" w:rsidRDefault="0023732D">
      <w:pPr>
        <w:pStyle w:val="JuQuot"/>
      </w:pPr>
      <w:r>
        <w:t>« Toute personne privée de sa liberté par arrestation ou détention a le droit d</w:t>
      </w:r>
      <w:r w:rsidR="0058131A">
        <w:t>'</w:t>
      </w:r>
      <w:r>
        <w:t>introduire un recours devant un tribunal, afin qu</w:t>
      </w:r>
      <w:r w:rsidR="0058131A">
        <w:t>'</w:t>
      </w:r>
      <w:r>
        <w:t>il statue à bref délai sur la légalité de sa détention et ordonne sa libération si la détention est illégale. »</w:t>
      </w:r>
    </w:p>
    <w:p w:rsidR="00EC6427" w:rsidRPr="00906641" w:rsidRDefault="00EC6427">
      <w:pPr>
        <w:pStyle w:val="JuHA"/>
      </w:pPr>
      <w:r w:rsidRPr="00906641">
        <w:t>A.  Sur la recevabilité</w:t>
      </w:r>
    </w:p>
    <w:p w:rsidR="00A220BB" w:rsidRDefault="00906641">
      <w:pPr>
        <w:pStyle w:val="JuPara"/>
      </w:pPr>
      <w:r w:rsidRPr="00906641">
        <w:fldChar w:fldCharType="begin"/>
      </w:r>
      <w:r w:rsidRPr="00906641">
        <w:instrText xml:space="preserve"> SEQ level0 \*arabic </w:instrText>
      </w:r>
      <w:r w:rsidRPr="00906641">
        <w:fldChar w:fldCharType="separate"/>
      </w:r>
      <w:r w:rsidR="00377BBB">
        <w:rPr>
          <w:noProof/>
        </w:rPr>
        <w:t>19</w:t>
      </w:r>
      <w:r w:rsidRPr="00906641">
        <w:fldChar w:fldCharType="end"/>
      </w:r>
      <w:r w:rsidR="00EC6427" w:rsidRPr="00906641">
        <w:t>.  </w:t>
      </w:r>
      <w:r w:rsidR="00A220BB">
        <w:t xml:space="preserve">Le Gouvernement </w:t>
      </w:r>
      <w:r w:rsidR="00AC504D">
        <w:t>soutient que le second requérant ne peut pas être considéré comme « victime » au sens de l</w:t>
      </w:r>
      <w:r w:rsidR="0058131A">
        <w:t>'</w:t>
      </w:r>
      <w:r w:rsidR="00AC504D">
        <w:t>article 34 de la Convention, car il n</w:t>
      </w:r>
      <w:r w:rsidR="0058131A">
        <w:t>'</w:t>
      </w:r>
      <w:r w:rsidR="00AC504D">
        <w:t>a pas été privé de sa liberté.</w:t>
      </w:r>
    </w:p>
    <w:p w:rsidR="00AC504D" w:rsidRDefault="00B52863">
      <w:pPr>
        <w:pStyle w:val="JuPara"/>
      </w:pPr>
      <w:r>
        <w:fldChar w:fldCharType="begin"/>
      </w:r>
      <w:r>
        <w:instrText xml:space="preserve"> SEQ level0 \*arabic </w:instrText>
      </w:r>
      <w:r>
        <w:fldChar w:fldCharType="separate"/>
      </w:r>
      <w:r w:rsidR="00377BBB">
        <w:rPr>
          <w:noProof/>
        </w:rPr>
        <w:t>20</w:t>
      </w:r>
      <w:r>
        <w:fldChar w:fldCharType="end"/>
      </w:r>
      <w:r>
        <w:t>.  </w:t>
      </w:r>
      <w:r w:rsidR="00AC504D">
        <w:t>Le</w:t>
      </w:r>
      <w:r w:rsidR="005D35A7">
        <w:t>s</w:t>
      </w:r>
      <w:r w:rsidR="00AC504D">
        <w:t xml:space="preserve"> requérants</w:t>
      </w:r>
      <w:r w:rsidR="005D35A7">
        <w:t xml:space="preserve"> soutien</w:t>
      </w:r>
      <w:r w:rsidR="00137037">
        <w:t>nen</w:t>
      </w:r>
      <w:r w:rsidR="005D35A7">
        <w:t xml:space="preserve">t que Vasillaq Bubullima était le tuteur de son neveu et a </w:t>
      </w:r>
      <w:r w:rsidR="00083A02">
        <w:t xml:space="preserve">également </w:t>
      </w:r>
      <w:r w:rsidR="005D35A7">
        <w:t xml:space="preserve">souffert de la prolongation de la détention illégale de ce dernier. </w:t>
      </w:r>
      <w:r w:rsidR="00137037">
        <w:t>Celui-ci avait, en outre, fait le nécessaire pour trouver un avocat et payé tous les frais et hono</w:t>
      </w:r>
      <w:r w:rsidR="009F054F">
        <w:t>raires relatifs à la procédure.</w:t>
      </w:r>
    </w:p>
    <w:p w:rsidR="00192FB5" w:rsidRPr="009B7EDA" w:rsidRDefault="00B52863" w:rsidP="00192FB5">
      <w:pPr>
        <w:pStyle w:val="JuPara"/>
      </w:pPr>
      <w:r>
        <w:fldChar w:fldCharType="begin"/>
      </w:r>
      <w:r>
        <w:instrText xml:space="preserve"> SEQ level0 \*arabic </w:instrText>
      </w:r>
      <w:r>
        <w:fldChar w:fldCharType="separate"/>
      </w:r>
      <w:r w:rsidR="00377BBB">
        <w:rPr>
          <w:noProof/>
        </w:rPr>
        <w:t>21</w:t>
      </w:r>
      <w:r>
        <w:fldChar w:fldCharType="end"/>
      </w:r>
      <w:r>
        <w:t>.  </w:t>
      </w:r>
      <w:r w:rsidR="005D35A7">
        <w:t>La Cour</w:t>
      </w:r>
      <w:r w:rsidR="00192FB5" w:rsidRPr="00192FB5">
        <w:t xml:space="preserve"> </w:t>
      </w:r>
      <w:r w:rsidR="00192FB5">
        <w:t>rappelle que p</w:t>
      </w:r>
      <w:r w:rsidR="00192FB5" w:rsidRPr="009B7EDA">
        <w:t>our pouvoir introduire une requête en vertu de l</w:t>
      </w:r>
      <w:r w:rsidR="0058131A">
        <w:t>'</w:t>
      </w:r>
      <w:r w:rsidR="00192FB5" w:rsidRPr="009B7EDA">
        <w:t>article 34</w:t>
      </w:r>
      <w:r w:rsidR="00192FB5">
        <w:t>,</w:t>
      </w:r>
      <w:r w:rsidR="00192FB5" w:rsidRPr="009B7EDA">
        <w:t xml:space="preserve"> une personne physique, une organisation non gouvernementale ou un groupe de particuliers doit pouvoir se prétendre « victime d</w:t>
      </w:r>
      <w:r w:rsidR="0058131A">
        <w:t>'</w:t>
      </w:r>
      <w:r w:rsidR="00192FB5" w:rsidRPr="009B7EDA">
        <w:t>une violation (...) des droits reconnus dans la Convention (...) ». Pour pouvoir se prétendre victime d</w:t>
      </w:r>
      <w:r w:rsidR="0058131A">
        <w:t>'</w:t>
      </w:r>
      <w:r w:rsidR="00192FB5" w:rsidRPr="009B7EDA">
        <w:t>une violation, un individu doit avoir subi directement les effets de la mesure litigieuse (</w:t>
      </w:r>
      <w:r w:rsidR="00192FB5" w:rsidRPr="009B7EDA">
        <w:rPr>
          <w:i/>
        </w:rPr>
        <w:t>Burden c. Royaume-Uni</w:t>
      </w:r>
      <w:r w:rsidR="00192FB5" w:rsidRPr="009B7EDA">
        <w:t xml:space="preserve"> [GC], n</w:t>
      </w:r>
      <w:r w:rsidR="00192FB5" w:rsidRPr="009B7EDA">
        <w:rPr>
          <w:vertAlign w:val="superscript"/>
        </w:rPr>
        <w:t>o</w:t>
      </w:r>
      <w:r w:rsidR="001E6B6A">
        <w:t> </w:t>
      </w:r>
      <w:r w:rsidR="007360D6">
        <w:t xml:space="preserve">13378/05, § </w:t>
      </w:r>
      <w:r w:rsidR="00192FB5" w:rsidRPr="009B7EDA">
        <w:t>33, 29 avril 2008).</w:t>
      </w:r>
    </w:p>
    <w:p w:rsidR="005D35A7" w:rsidRDefault="00F0565D">
      <w:pPr>
        <w:pStyle w:val="JuPara"/>
      </w:pPr>
      <w:r>
        <w:fldChar w:fldCharType="begin"/>
      </w:r>
      <w:r>
        <w:instrText xml:space="preserve"> SEQ level0 \*arabic </w:instrText>
      </w:r>
      <w:r>
        <w:fldChar w:fldCharType="separate"/>
      </w:r>
      <w:r w:rsidR="00377BBB">
        <w:rPr>
          <w:noProof/>
        </w:rPr>
        <w:t>22</w:t>
      </w:r>
      <w:r>
        <w:fldChar w:fldCharType="end"/>
      </w:r>
      <w:r>
        <w:t>.  </w:t>
      </w:r>
      <w:r w:rsidR="00192FB5">
        <w:t xml:space="preserve">La Cour note </w:t>
      </w:r>
      <w:r w:rsidR="007B60A6">
        <w:t>que la présente affaire pose le problème des garanties que le droit grec devrait offrir à une personne, qui a été arrêtée et détenue provisoirement en vue de son éloignement du territoire grec. Or cette personne était le premier requérant. Le second requérant n</w:t>
      </w:r>
      <w:r w:rsidR="0058131A">
        <w:t>'</w:t>
      </w:r>
      <w:r w:rsidR="007B60A6">
        <w:t>était pas affecté par les mesures de détention et d</w:t>
      </w:r>
      <w:r w:rsidR="0058131A">
        <w:t>'</w:t>
      </w:r>
      <w:r w:rsidR="007B60A6">
        <w:t xml:space="preserve">expulsion </w:t>
      </w:r>
      <w:r w:rsidR="00BB6C42">
        <w:t>et son lien de parenté avec le premier requérant ne suffit pas à le considérer comme « victime » dans les circonstances de l</w:t>
      </w:r>
      <w:r w:rsidR="0058131A">
        <w:t>'</w:t>
      </w:r>
      <w:r w:rsidR="00BB6C42">
        <w:t>espèce</w:t>
      </w:r>
      <w:r>
        <w:t>, d</w:t>
      </w:r>
      <w:r w:rsidR="0058131A">
        <w:t>'</w:t>
      </w:r>
      <w:r>
        <w:t>autant plus qu</w:t>
      </w:r>
      <w:r w:rsidR="0058131A">
        <w:t>'</w:t>
      </w:r>
      <w:r>
        <w:t>il n</w:t>
      </w:r>
      <w:r w:rsidR="0058131A">
        <w:t>'</w:t>
      </w:r>
      <w:r>
        <w:t xml:space="preserve">avait participé à aucune procédure (voir, </w:t>
      </w:r>
      <w:r w:rsidRPr="00F0565D">
        <w:rPr>
          <w:i/>
        </w:rPr>
        <w:t>a contrario</w:t>
      </w:r>
      <w:r>
        <w:t xml:space="preserve">, </w:t>
      </w:r>
      <w:r w:rsidR="001807F2">
        <w:rPr>
          <w:i/>
        </w:rPr>
        <w:t>Houma</w:t>
      </w:r>
      <w:r w:rsidRPr="00F0565D">
        <w:rPr>
          <w:i/>
        </w:rPr>
        <w:t>n et M</w:t>
      </w:r>
      <w:r>
        <w:rPr>
          <w:i/>
        </w:rPr>
        <w:t>e</w:t>
      </w:r>
      <w:r w:rsidRPr="00F0565D">
        <w:rPr>
          <w:i/>
        </w:rPr>
        <w:t>eus c. Belgique</w:t>
      </w:r>
      <w:r>
        <w:t xml:space="preserve">, </w:t>
      </w:r>
      <w:r w:rsidR="001807F2">
        <w:t>n</w:t>
      </w:r>
      <w:r w:rsidR="00C907B3" w:rsidRPr="00C907B3">
        <w:rPr>
          <w:vertAlign w:val="superscript"/>
        </w:rPr>
        <w:t>o</w:t>
      </w:r>
      <w:r w:rsidR="001E6B6A">
        <w:t xml:space="preserve"> 22945, §§ </w:t>
      </w:r>
      <w:r w:rsidR="001807F2">
        <w:t>27-31, 17 mars 2009)</w:t>
      </w:r>
      <w:r w:rsidR="00BB6C42">
        <w:t>. La Cour accueille donc l</w:t>
      </w:r>
      <w:r w:rsidR="0058131A">
        <w:t>'</w:t>
      </w:r>
      <w:r w:rsidR="00BB6C42">
        <w:t>objection du Gouvernement sur ce point.</w:t>
      </w:r>
    </w:p>
    <w:p w:rsidR="00EC6427" w:rsidRPr="00906641" w:rsidRDefault="00B52863">
      <w:pPr>
        <w:pStyle w:val="JuPara"/>
      </w:pPr>
      <w:r>
        <w:fldChar w:fldCharType="begin"/>
      </w:r>
      <w:r>
        <w:instrText xml:space="preserve"> SEQ level0 \*arabic </w:instrText>
      </w:r>
      <w:r>
        <w:fldChar w:fldCharType="separate"/>
      </w:r>
      <w:r w:rsidR="00377BBB">
        <w:rPr>
          <w:noProof/>
        </w:rPr>
        <w:t>23</w:t>
      </w:r>
      <w:r>
        <w:fldChar w:fldCharType="end"/>
      </w:r>
      <w:r>
        <w:t>.  </w:t>
      </w:r>
      <w:r w:rsidR="00137037">
        <w:t>La Cour constate</w:t>
      </w:r>
      <w:r w:rsidR="00BB6C42">
        <w:t>, en outre,</w:t>
      </w:r>
      <w:r w:rsidR="00137037">
        <w:t xml:space="preserve"> que la requête</w:t>
      </w:r>
      <w:r w:rsidR="00EC6427" w:rsidRPr="00906641">
        <w:t xml:space="preserve"> n</w:t>
      </w:r>
      <w:r w:rsidR="0058131A">
        <w:t>'</w:t>
      </w:r>
      <w:r w:rsidR="00EC6427" w:rsidRPr="00906641">
        <w:t>es</w:t>
      </w:r>
      <w:r w:rsidR="00137037">
        <w:t>t pas manifestement mal fondée</w:t>
      </w:r>
      <w:r w:rsidR="00EC6427" w:rsidRPr="00906641">
        <w:t xml:space="preserve"> au sens de l</w:t>
      </w:r>
      <w:r w:rsidR="0058131A">
        <w:t>'</w:t>
      </w:r>
      <w:r w:rsidR="00EC6427" w:rsidRPr="00906641">
        <w:t>article 35 § 3 de la Convention.</w:t>
      </w:r>
      <w:r w:rsidR="00BB6C42">
        <w:t xml:space="preserve"> Elle</w:t>
      </w:r>
      <w:r w:rsidR="007357D0" w:rsidRPr="00906641">
        <w:t xml:space="preserve"> relève par ailleurs qu</w:t>
      </w:r>
      <w:r w:rsidR="0058131A">
        <w:t>'</w:t>
      </w:r>
      <w:r w:rsidR="00137037">
        <w:t>elle</w:t>
      </w:r>
      <w:r w:rsidR="00EC6427" w:rsidRPr="00906641">
        <w:t xml:space="preserve"> ne se heurte à aucun autre motif d</w:t>
      </w:r>
      <w:r w:rsidR="0058131A">
        <w:t>'</w:t>
      </w:r>
      <w:r w:rsidR="00EC6427" w:rsidRPr="00906641">
        <w:t>irrecevab</w:t>
      </w:r>
      <w:r w:rsidR="00137037">
        <w:t>ilité. Il convient donc de la</w:t>
      </w:r>
      <w:r w:rsidR="00EC6427" w:rsidRPr="00906641">
        <w:t xml:space="preserve"> déclarer recevable.</w:t>
      </w:r>
    </w:p>
    <w:p w:rsidR="00EC6427" w:rsidRPr="00906641" w:rsidRDefault="00EC6427">
      <w:pPr>
        <w:pStyle w:val="JuHA"/>
      </w:pPr>
      <w:r w:rsidRPr="00906641">
        <w:t>B.  Sur le fond</w:t>
      </w:r>
    </w:p>
    <w:p w:rsidR="00076451" w:rsidRDefault="00906641" w:rsidP="00076451">
      <w:pPr>
        <w:pStyle w:val="JuPara"/>
      </w:pPr>
      <w:r w:rsidRPr="00906641">
        <w:fldChar w:fldCharType="begin"/>
      </w:r>
      <w:r w:rsidRPr="00906641">
        <w:instrText xml:space="preserve"> SEQ level0 \*arabic </w:instrText>
      </w:r>
      <w:r w:rsidRPr="00906641">
        <w:fldChar w:fldCharType="separate"/>
      </w:r>
      <w:r w:rsidR="00377BBB">
        <w:rPr>
          <w:noProof/>
        </w:rPr>
        <w:t>24</w:t>
      </w:r>
      <w:r w:rsidRPr="00906641">
        <w:fldChar w:fldCharType="end"/>
      </w:r>
      <w:r w:rsidR="00A957CE">
        <w:t xml:space="preserve">.  Le Gouvernement soutient que le délai de </w:t>
      </w:r>
      <w:r w:rsidR="00C907B3">
        <w:t xml:space="preserve">quatorze </w:t>
      </w:r>
      <w:r w:rsidR="00A957CE">
        <w:t>jours qui s</w:t>
      </w:r>
      <w:r w:rsidR="0058131A">
        <w:t>'</w:t>
      </w:r>
      <w:r w:rsidR="00A957CE">
        <w:t xml:space="preserve">est écoulé entre le dépôt des objections du requérant et la décision par laquelle le président du tribunal administratif a ordonné sa mise en liberté était bref, compte tenu notamment du fait que </w:t>
      </w:r>
      <w:r w:rsidR="00F67329">
        <w:t>ce tribunal a tranché deux cent sept objections d</w:t>
      </w:r>
      <w:r w:rsidR="0058131A">
        <w:t>'</w:t>
      </w:r>
      <w:r w:rsidR="00F67329">
        <w:t>autres étrangers qui avaient été déposées antérieurement et que les juges qui décident ce type de recours siègent aussi dans d</w:t>
      </w:r>
      <w:r w:rsidR="0058131A">
        <w:t>'</w:t>
      </w:r>
      <w:r w:rsidR="00F67329">
        <w:t>autres formations.</w:t>
      </w:r>
    </w:p>
    <w:p w:rsidR="00645B3B" w:rsidRDefault="00B52863" w:rsidP="00076451">
      <w:pPr>
        <w:pStyle w:val="JuPara"/>
      </w:pPr>
      <w:r>
        <w:fldChar w:fldCharType="begin"/>
      </w:r>
      <w:r>
        <w:instrText xml:space="preserve"> SEQ level0 \*arabic </w:instrText>
      </w:r>
      <w:r>
        <w:fldChar w:fldCharType="separate"/>
      </w:r>
      <w:r w:rsidR="00377BBB">
        <w:rPr>
          <w:noProof/>
        </w:rPr>
        <w:t>25</w:t>
      </w:r>
      <w:r>
        <w:fldChar w:fldCharType="end"/>
      </w:r>
      <w:r>
        <w:t>.  </w:t>
      </w:r>
      <w:r w:rsidR="00645B3B">
        <w:t>Le requérant rétorque que l</w:t>
      </w:r>
      <w:r w:rsidR="0058131A">
        <w:t>'</w:t>
      </w:r>
      <w:r w:rsidR="00645B3B">
        <w:t>inactivité du tribunal administratif d</w:t>
      </w:r>
      <w:r w:rsidR="0058131A">
        <w:t>'</w:t>
      </w:r>
      <w:r w:rsidR="00645B3B">
        <w:t>Athènes pendant quatorze jours ne saurait ê</w:t>
      </w:r>
      <w:r w:rsidR="00C554FE">
        <w:t>tre justifié</w:t>
      </w:r>
      <w:r w:rsidR="00C907B3">
        <w:t>e</w:t>
      </w:r>
      <w:r w:rsidR="00C554FE">
        <w:t>, car les deux cent</w:t>
      </w:r>
      <w:r w:rsidR="00645B3B">
        <w:t xml:space="preserve"> sept affaires que celui-ci avait à traiter, comme le prétend le Gouvernement, ne sont pas excessives par rapport au nombre total des magistrat</w:t>
      </w:r>
      <w:r w:rsidR="00A220BB">
        <w:t>s de ce tribunal, soit plus de deux cents. Les affaires de ce type sont jugées selon la procédure du juge unique. De plus, le requérant était mineur au moment des faits et l</w:t>
      </w:r>
      <w:r w:rsidR="0058131A">
        <w:t>'</w:t>
      </w:r>
      <w:r w:rsidR="00A220BB">
        <w:t>affaire n</w:t>
      </w:r>
      <w:r w:rsidR="0058131A">
        <w:t>'</w:t>
      </w:r>
      <w:r w:rsidR="00A220BB">
        <w:t>était pas complexe</w:t>
      </w:r>
      <w:r w:rsidR="00C554FE">
        <w:t>,</w:t>
      </w:r>
      <w:r w:rsidR="00A220BB">
        <w:t xml:space="preserve"> le requérant n</w:t>
      </w:r>
      <w:r w:rsidR="0058131A">
        <w:t>'</w:t>
      </w:r>
      <w:r w:rsidR="00A220BB">
        <w:t>a</w:t>
      </w:r>
      <w:r w:rsidR="00C554FE">
        <w:t>yan</w:t>
      </w:r>
      <w:r w:rsidR="00A220BB">
        <w:t>t commis aucun crime ou délit.</w:t>
      </w:r>
    </w:p>
    <w:p w:rsidR="007360D6" w:rsidRDefault="00CC6DBF" w:rsidP="00CC6DBF">
      <w:pPr>
        <w:pStyle w:val="JuPara"/>
      </w:pPr>
      <w:r>
        <w:fldChar w:fldCharType="begin"/>
      </w:r>
      <w:r>
        <w:instrText xml:space="preserve"> SEQ level0 \*arabic </w:instrText>
      </w:r>
      <w:r>
        <w:fldChar w:fldCharType="separate"/>
      </w:r>
      <w:r w:rsidR="00377BBB">
        <w:rPr>
          <w:noProof/>
        </w:rPr>
        <w:t>26</w:t>
      </w:r>
      <w:r>
        <w:fldChar w:fldCharType="end"/>
      </w:r>
      <w:r>
        <w:t>.  </w:t>
      </w:r>
      <w:r w:rsidRPr="007C0225">
        <w:t>La Cour rappelle qu</w:t>
      </w:r>
      <w:r w:rsidR="0058131A">
        <w:t>'</w:t>
      </w:r>
      <w:r w:rsidRPr="007C0225">
        <w:t>en garantissant aux personnes arrêtées ou détenues un recours pour con</w:t>
      </w:r>
      <w:smartTag w:uri="urn:schemas-microsoft-com:office:smarttags" w:element="PersonName">
        <w:r w:rsidRPr="007C0225">
          <w:t>test</w:t>
        </w:r>
      </w:smartTag>
      <w:r w:rsidRPr="007C0225">
        <w:t>er la régularité de leur privation de liberté, l</w:t>
      </w:r>
      <w:r w:rsidR="0058131A">
        <w:t>'</w:t>
      </w:r>
      <w:r w:rsidRPr="007C0225">
        <w:t>article 5 § 4 de la Convention consacre aussi le droit pour elles, à la suite de l</w:t>
      </w:r>
      <w:r w:rsidR="0058131A">
        <w:t>'</w:t>
      </w:r>
      <w:r w:rsidRPr="007C0225">
        <w:t>institution d</w:t>
      </w:r>
      <w:r w:rsidR="0058131A">
        <w:t>'</w:t>
      </w:r>
      <w:r w:rsidRPr="007C0225">
        <w:t>une telle procédure, d</w:t>
      </w:r>
      <w:r w:rsidR="0058131A">
        <w:t>'</w:t>
      </w:r>
      <w:r w:rsidRPr="007C0225">
        <w:t xml:space="preserve">obtenir à bref délai une décision judiciaire concernant la régularité de leur détention et mettant fin à leur privation de liberté si elle se révèle illégale (voir, par exemple, </w:t>
      </w:r>
      <w:r w:rsidRPr="007C0225">
        <w:rPr>
          <w:i/>
        </w:rPr>
        <w:t>Musiał c. Pologne</w:t>
      </w:r>
      <w:r w:rsidRPr="007C0225">
        <w:t xml:space="preserve"> [GC], n</w:t>
      </w:r>
      <w:r w:rsidRPr="007C0225">
        <w:rPr>
          <w:vertAlign w:val="superscript"/>
        </w:rPr>
        <w:t>o</w:t>
      </w:r>
      <w:r w:rsidRPr="007C0225">
        <w:t xml:space="preserve"> 24557/94, § 43, CEDH 1999-II, et </w:t>
      </w:r>
      <w:r w:rsidRPr="007C0225">
        <w:rPr>
          <w:i/>
        </w:rPr>
        <w:t>Baranowski c. Pologne</w:t>
      </w:r>
      <w:r w:rsidRPr="007C0225">
        <w:t>,</w:t>
      </w:r>
      <w:r w:rsidRPr="007C0225">
        <w:rPr>
          <w:i/>
        </w:rPr>
        <w:t xml:space="preserve"> </w:t>
      </w:r>
      <w:r w:rsidRPr="007C0225">
        <w:t>n</w:t>
      </w:r>
      <w:r w:rsidRPr="007C0225">
        <w:rPr>
          <w:vertAlign w:val="superscript"/>
        </w:rPr>
        <w:t>o</w:t>
      </w:r>
      <w:r w:rsidR="007360D6">
        <w:t xml:space="preserve"> 28358/95, § 68, CEDH </w:t>
      </w:r>
      <w:r w:rsidRPr="007C0225">
        <w:t>2000-III).</w:t>
      </w:r>
    </w:p>
    <w:p w:rsidR="00CC6DBF" w:rsidRDefault="00CC6DBF" w:rsidP="00CC6DBF">
      <w:pPr>
        <w:pStyle w:val="JuPara"/>
        <w:rPr>
          <w:szCs w:val="24"/>
        </w:rPr>
      </w:pPr>
      <w:r>
        <w:fldChar w:fldCharType="begin"/>
      </w:r>
      <w:r>
        <w:instrText xml:space="preserve"> SEQ level0 \*arabic </w:instrText>
      </w:r>
      <w:r>
        <w:fldChar w:fldCharType="separate"/>
      </w:r>
      <w:r w:rsidR="00377BBB">
        <w:rPr>
          <w:noProof/>
        </w:rPr>
        <w:t>27</w:t>
      </w:r>
      <w:r>
        <w:fldChar w:fldCharType="end"/>
      </w:r>
      <w:r>
        <w:t>.  </w:t>
      </w:r>
      <w:r w:rsidRPr="007C0225">
        <w:t>La Cour rappelle également que le respect du droit de toute personne, au regard de l</w:t>
      </w:r>
      <w:r w:rsidR="0058131A">
        <w:t>'</w:t>
      </w:r>
      <w:r w:rsidR="007360D6">
        <w:t xml:space="preserve">article 5 § </w:t>
      </w:r>
      <w:r w:rsidRPr="007C0225">
        <w:t>4 de la Convention, d</w:t>
      </w:r>
      <w:r w:rsidR="0058131A">
        <w:t>'</w:t>
      </w:r>
      <w:r w:rsidRPr="007C0225">
        <w:t>obtenir à bref délai une décision d</w:t>
      </w:r>
      <w:r w:rsidR="0058131A">
        <w:t>'</w:t>
      </w:r>
      <w:r w:rsidRPr="007C0225">
        <w:t>un tribunal sur la légalité de sa détention doit être apprécié à la lumière des circonstances de chaque affaire (</w:t>
      </w:r>
      <w:r w:rsidRPr="007C0225">
        <w:rPr>
          <w:i/>
        </w:rPr>
        <w:t>Sanchez-Reisse c. Suisse</w:t>
      </w:r>
      <w:r w:rsidR="007360D6">
        <w:t xml:space="preserve">, arrêt du 21 octobre 1986, série </w:t>
      </w:r>
      <w:r w:rsidRPr="007C0225">
        <w:t>A n</w:t>
      </w:r>
      <w:r w:rsidRPr="007C0225">
        <w:rPr>
          <w:vertAlign w:val="superscript"/>
        </w:rPr>
        <w:t>o</w:t>
      </w:r>
      <w:r w:rsidR="007360D6">
        <w:t xml:space="preserve"> 107, p. 20, § </w:t>
      </w:r>
      <w:r w:rsidRPr="007C0225">
        <w:t xml:space="preserve">55, et </w:t>
      </w:r>
      <w:r w:rsidRPr="007C0225">
        <w:rPr>
          <w:i/>
        </w:rPr>
        <w:t>R.M.D. c. Suisse</w:t>
      </w:r>
      <w:r w:rsidR="007360D6">
        <w:t xml:space="preserve">, arrêt du 26 </w:t>
      </w:r>
      <w:r w:rsidRPr="007C0225">
        <w:t xml:space="preserve">septembre 1997, </w:t>
      </w:r>
      <w:r w:rsidRPr="007C0225">
        <w:rPr>
          <w:i/>
          <w:iCs/>
        </w:rPr>
        <w:t>Recueil des arrêts et décisions</w:t>
      </w:r>
      <w:r w:rsidRPr="007C0225">
        <w:t xml:space="preserve"> 1997-VI, p. 2013, § 42). En particulier, il faut tenir compte du déroulement général de la procédure et de la mesure dans laquelle les retards sont imputables à la conduite du requérant ou de ses conseils. En principe</w:t>
      </w:r>
      <w:r>
        <w:t>,</w:t>
      </w:r>
      <w:r w:rsidRPr="007C0225">
        <w:t xml:space="preserve"> cependant, puisque la liberté de l</w:t>
      </w:r>
      <w:r w:rsidR="0058131A">
        <w:t>'</w:t>
      </w:r>
      <w:r w:rsidRPr="007C0225">
        <w:t>individu est en jeu, l</w:t>
      </w:r>
      <w:r w:rsidR="0058131A">
        <w:t>'</w:t>
      </w:r>
      <w:r w:rsidRPr="007C0225">
        <w:t>Etat doit faire en sorte que la procédure se déroule dans le minimum de temps (</w:t>
      </w:r>
      <w:r w:rsidRPr="007C0225">
        <w:rPr>
          <w:i/>
          <w:szCs w:val="24"/>
        </w:rPr>
        <w:t>Mayzit c. Russie</w:t>
      </w:r>
      <w:r w:rsidRPr="007C0225">
        <w:rPr>
          <w:szCs w:val="24"/>
        </w:rPr>
        <w:t>, n</w:t>
      </w:r>
      <w:r w:rsidRPr="007C0225">
        <w:rPr>
          <w:szCs w:val="24"/>
          <w:vertAlign w:val="superscript"/>
        </w:rPr>
        <w:t>o</w:t>
      </w:r>
      <w:r w:rsidRPr="007C0225">
        <w:rPr>
          <w:b/>
          <w:szCs w:val="24"/>
        </w:rPr>
        <w:t xml:space="preserve"> </w:t>
      </w:r>
      <w:r w:rsidRPr="007C0225">
        <w:rPr>
          <w:szCs w:val="24"/>
        </w:rPr>
        <w:t>63378/00, § 49, 20 janvier 2005</w:t>
      </w:r>
      <w:r>
        <w:rPr>
          <w:szCs w:val="24"/>
        </w:rPr>
        <w:t xml:space="preserve">, et </w:t>
      </w:r>
      <w:r w:rsidRPr="002161DA">
        <w:rPr>
          <w:i/>
        </w:rPr>
        <w:t>Rapacciolo c. Italie</w:t>
      </w:r>
      <w:r w:rsidRPr="002161DA">
        <w:t>, n</w:t>
      </w:r>
      <w:r w:rsidRPr="000F5AAC">
        <w:rPr>
          <w:vertAlign w:val="superscript"/>
        </w:rPr>
        <w:t>o</w:t>
      </w:r>
      <w:r w:rsidRPr="002161DA">
        <w:t xml:space="preserve"> 76024/01, § 3</w:t>
      </w:r>
      <w:r>
        <w:t>2</w:t>
      </w:r>
      <w:r w:rsidRPr="002161DA">
        <w:t>, 9 mai 20</w:t>
      </w:r>
      <w:r w:rsidRPr="007C0225">
        <w:t>05</w:t>
      </w:r>
      <w:r w:rsidRPr="007C0225">
        <w:rPr>
          <w:szCs w:val="24"/>
        </w:rPr>
        <w:t>).</w:t>
      </w:r>
    </w:p>
    <w:p w:rsidR="00CC6DBF" w:rsidRDefault="00CC6DBF" w:rsidP="00CC6DBF">
      <w:pPr>
        <w:pStyle w:val="JuPara"/>
      </w:pPr>
      <w:r>
        <w:rPr>
          <w:szCs w:val="24"/>
        </w:rPr>
        <w:fldChar w:fldCharType="begin"/>
      </w:r>
      <w:r>
        <w:rPr>
          <w:szCs w:val="24"/>
        </w:rPr>
        <w:instrText xml:space="preserve"> SEQ level0 \*arabic </w:instrText>
      </w:r>
      <w:r>
        <w:rPr>
          <w:szCs w:val="24"/>
        </w:rPr>
        <w:fldChar w:fldCharType="separate"/>
      </w:r>
      <w:r w:rsidR="00377BBB">
        <w:rPr>
          <w:noProof/>
          <w:szCs w:val="24"/>
        </w:rPr>
        <w:t>28</w:t>
      </w:r>
      <w:r>
        <w:rPr>
          <w:szCs w:val="24"/>
        </w:rPr>
        <w:fldChar w:fldCharType="end"/>
      </w:r>
      <w:r>
        <w:rPr>
          <w:szCs w:val="24"/>
        </w:rPr>
        <w:t>.  Par ailleurs, m</w:t>
      </w:r>
      <w:r w:rsidRPr="00935B5B">
        <w:rPr>
          <w:rStyle w:val="JuParaChar1"/>
        </w:rPr>
        <w:t>ême si un détenu a formé plusieurs demandes d</w:t>
      </w:r>
      <w:r w:rsidR="0058131A">
        <w:rPr>
          <w:rStyle w:val="JuParaChar1"/>
        </w:rPr>
        <w:t>'</w:t>
      </w:r>
      <w:r w:rsidRPr="00935B5B">
        <w:rPr>
          <w:rStyle w:val="JuParaChar1"/>
        </w:rPr>
        <w:t>élargissement, cette disposition ne confère pas aux autorités un</w:t>
      </w:r>
      <w:r>
        <w:rPr>
          <w:rStyle w:val="JuParaChar1"/>
        </w:rPr>
        <w:t>e</w:t>
      </w:r>
      <w:r w:rsidRPr="00935B5B">
        <w:rPr>
          <w:rStyle w:val="JuParaChar1"/>
        </w:rPr>
        <w:t xml:space="preserve"> « marge d</w:t>
      </w:r>
      <w:r w:rsidR="0058131A">
        <w:rPr>
          <w:rStyle w:val="JuParaChar1"/>
        </w:rPr>
        <w:t>'</w:t>
      </w:r>
      <w:r w:rsidRPr="00935B5B">
        <w:rPr>
          <w:rStyle w:val="JuParaChar1"/>
        </w:rPr>
        <w:t>appréciation » ou la possibilité de choisir celles qui doivent être traitées plus rapidement. Toutes ces procédures doivent satisfaire à l</w:t>
      </w:r>
      <w:r w:rsidR="0058131A">
        <w:rPr>
          <w:rStyle w:val="JuParaChar1"/>
        </w:rPr>
        <w:t>'</w:t>
      </w:r>
      <w:r w:rsidRPr="00935B5B">
        <w:rPr>
          <w:rStyle w:val="JuParaChar1"/>
        </w:rPr>
        <w:t>exigence du</w:t>
      </w:r>
      <w:r w:rsidRPr="00935B5B">
        <w:t xml:space="preserve"> </w:t>
      </w:r>
      <w:r w:rsidRPr="00935B5B">
        <w:rPr>
          <w:rStyle w:val="JuParaChar1"/>
        </w:rPr>
        <w:t>« bref délai »</w:t>
      </w:r>
      <w:r w:rsidRPr="00935B5B">
        <w:t xml:space="preserve"> (</w:t>
      </w:r>
      <w:r w:rsidRPr="00935B5B">
        <w:rPr>
          <w:rStyle w:val="JuParaChar1"/>
          <w:i/>
          <w:iCs/>
        </w:rPr>
        <w:t>Ilowiecki c. Pologne</w:t>
      </w:r>
      <w:r w:rsidRPr="00935B5B">
        <w:rPr>
          <w:bCs/>
        </w:rPr>
        <w:t>, n</w:t>
      </w:r>
      <w:r w:rsidRPr="00935B5B">
        <w:rPr>
          <w:bCs/>
          <w:vertAlign w:val="superscript"/>
        </w:rPr>
        <w:t>o</w:t>
      </w:r>
      <w:r w:rsidRPr="00935B5B">
        <w:rPr>
          <w:bCs/>
        </w:rPr>
        <w:t xml:space="preserve"> </w:t>
      </w:r>
      <w:r w:rsidRPr="00935B5B">
        <w:rPr>
          <w:iCs/>
        </w:rPr>
        <w:t>27504/95</w:t>
      </w:r>
      <w:r w:rsidRPr="00935B5B">
        <w:rPr>
          <w:bCs/>
        </w:rPr>
        <w:t xml:space="preserve">, </w:t>
      </w:r>
      <w:r w:rsidRPr="00935B5B">
        <w:rPr>
          <w:rStyle w:val="JuParaChar1"/>
        </w:rPr>
        <w:t>§§ 77-78</w:t>
      </w:r>
      <w:r w:rsidRPr="00935B5B">
        <w:rPr>
          <w:bCs/>
        </w:rPr>
        <w:t xml:space="preserve">, </w:t>
      </w:r>
      <w:r w:rsidR="007360D6">
        <w:rPr>
          <w:rStyle w:val="JuParaChar1"/>
        </w:rPr>
        <w:t xml:space="preserve">4 octobre </w:t>
      </w:r>
      <w:r w:rsidRPr="00935B5B">
        <w:rPr>
          <w:rStyle w:val="JuParaChar1"/>
        </w:rPr>
        <w:t>2001</w:t>
      </w:r>
      <w:r>
        <w:rPr>
          <w:rStyle w:val="JuParaChar1"/>
        </w:rPr>
        <w:t xml:space="preserve">, et </w:t>
      </w:r>
      <w:r w:rsidRPr="00365F13">
        <w:rPr>
          <w:rStyle w:val="JuParaChar1"/>
          <w:i/>
        </w:rPr>
        <w:t xml:space="preserve">Naranjo </w:t>
      </w:r>
      <w:r w:rsidRPr="00365F13">
        <w:rPr>
          <w:i/>
        </w:rPr>
        <w:t>Hurtado c. Italie</w:t>
      </w:r>
      <w:r w:rsidRPr="00042AE7">
        <w:t>,</w:t>
      </w:r>
      <w:r>
        <w:rPr>
          <w:b/>
        </w:rPr>
        <w:t xml:space="preserve"> </w:t>
      </w:r>
      <w:r w:rsidRPr="00365F13">
        <w:t>n</w:t>
      </w:r>
      <w:r w:rsidRPr="00EF29F8">
        <w:rPr>
          <w:vertAlign w:val="superscript"/>
        </w:rPr>
        <w:t>o</w:t>
      </w:r>
      <w:r w:rsidRPr="00365F13">
        <w:t xml:space="preserve"> </w:t>
      </w:r>
      <w:r w:rsidRPr="00042AE7">
        <w:t>16508/04</w:t>
      </w:r>
      <w:r w:rsidRPr="00365F13">
        <w:t>, § 34, 3 juillet 2007</w:t>
      </w:r>
      <w:r w:rsidRPr="00935B5B">
        <w:rPr>
          <w:rStyle w:val="JuParaChar1"/>
        </w:rPr>
        <w:t>)</w:t>
      </w:r>
      <w:r w:rsidRPr="00935B5B">
        <w:t>.</w:t>
      </w:r>
    </w:p>
    <w:p w:rsidR="00CC6DBF" w:rsidRDefault="00C75039" w:rsidP="00076451">
      <w:pPr>
        <w:pStyle w:val="JuPara"/>
      </w:pPr>
      <w:r>
        <w:fldChar w:fldCharType="begin"/>
      </w:r>
      <w:r>
        <w:instrText xml:space="preserve"> SEQ level0 \*arabic </w:instrText>
      </w:r>
      <w:r>
        <w:fldChar w:fldCharType="separate"/>
      </w:r>
      <w:r w:rsidR="00377BBB">
        <w:rPr>
          <w:noProof/>
        </w:rPr>
        <w:t>29</w:t>
      </w:r>
      <w:r>
        <w:fldChar w:fldCharType="end"/>
      </w:r>
      <w:r>
        <w:t>.  </w:t>
      </w:r>
      <w:r w:rsidR="00F67AE2">
        <w:t>La Cour note d</w:t>
      </w:r>
      <w:r w:rsidR="0058131A">
        <w:t>'</w:t>
      </w:r>
      <w:r w:rsidR="00F67AE2">
        <w:t>emblée que, suite à son arrestation et sa mise en détention en vue de son éloignement, le requérant a introduit deux recours : le 14 mai 2008, des objections contre son maintien en détention devant le président du tribunal admi</w:t>
      </w:r>
      <w:r w:rsidR="0027786C">
        <w:t>nistratif d</w:t>
      </w:r>
      <w:r w:rsidR="0058131A">
        <w:t>'</w:t>
      </w:r>
      <w:r w:rsidR="0027786C">
        <w:t>Athènes ;</w:t>
      </w:r>
      <w:r w:rsidR="00F67AE2">
        <w:t xml:space="preserve"> le 20 mai 2008, </w:t>
      </w:r>
      <w:r w:rsidR="00A06867">
        <w:t>un recours contre la décision d</w:t>
      </w:r>
      <w:r w:rsidR="0058131A">
        <w:t>'</w:t>
      </w:r>
      <w:r w:rsidR="00A06867">
        <w:t>expulsion auprès de la direction de la police des étrangers d</w:t>
      </w:r>
      <w:r w:rsidR="0058131A">
        <w:t>'</w:t>
      </w:r>
      <w:r w:rsidR="00A06867">
        <w:t>Attique</w:t>
      </w:r>
      <w:r w:rsidR="00226605">
        <w:t>,</w:t>
      </w:r>
      <w:r w:rsidR="00A06867">
        <w:t xml:space="preserve"> conformément à l</w:t>
      </w:r>
      <w:r w:rsidR="0058131A">
        <w:t>'</w:t>
      </w:r>
      <w:r w:rsidR="00A06867">
        <w:t>article 77 de la loi 3386/2005</w:t>
      </w:r>
      <w:r w:rsidR="00226605">
        <w:t>, suivi d</w:t>
      </w:r>
      <w:r w:rsidR="0058131A">
        <w:t>'</w:t>
      </w:r>
      <w:r w:rsidR="00226605">
        <w:t>un recours en annulation de la décision de rejet prise par la direction de la police et d</w:t>
      </w:r>
      <w:r w:rsidR="0058131A">
        <w:t>'</w:t>
      </w:r>
      <w:r w:rsidR="00226605">
        <w:t>un recours en suspension de la décision d</w:t>
      </w:r>
      <w:r w:rsidR="0058131A">
        <w:t>'</w:t>
      </w:r>
      <w:r w:rsidR="00226605">
        <w:t>expulsion.</w:t>
      </w:r>
    </w:p>
    <w:p w:rsidR="007360D6" w:rsidRDefault="00C75039" w:rsidP="00C75039">
      <w:pPr>
        <w:pStyle w:val="JuPara"/>
      </w:pPr>
      <w:r>
        <w:fldChar w:fldCharType="begin"/>
      </w:r>
      <w:r>
        <w:instrText xml:space="preserve"> SEQ level0 \*arabic </w:instrText>
      </w:r>
      <w:r>
        <w:fldChar w:fldCharType="separate"/>
      </w:r>
      <w:r w:rsidR="00377BBB">
        <w:rPr>
          <w:noProof/>
        </w:rPr>
        <w:t>30</w:t>
      </w:r>
      <w:r>
        <w:fldChar w:fldCharType="end"/>
      </w:r>
      <w:r>
        <w:t>.  </w:t>
      </w:r>
      <w:r w:rsidR="00385416">
        <w:t>En ce qui concerne le second</w:t>
      </w:r>
      <w:r w:rsidR="00C907B3">
        <w:t xml:space="preserve"> recours</w:t>
      </w:r>
      <w:r w:rsidR="00385416">
        <w:t xml:space="preserve">, </w:t>
      </w:r>
      <w:r w:rsidR="0027786C">
        <w:t>la Cour a déjà constaté qu</w:t>
      </w:r>
      <w:r w:rsidR="0058131A">
        <w:t>'</w:t>
      </w:r>
      <w:r w:rsidR="0027786C">
        <w:t xml:space="preserve">il ne </w:t>
      </w:r>
      <w:r w:rsidR="00226605">
        <w:t>satisfait pas aux exigences de l</w:t>
      </w:r>
      <w:r w:rsidR="0058131A">
        <w:t>'</w:t>
      </w:r>
      <w:r w:rsidR="00226605">
        <w:t>article 5 § 4</w:t>
      </w:r>
      <w:r w:rsidR="00C907B3">
        <w:t>,</w:t>
      </w:r>
      <w:r w:rsidR="00226605">
        <w:t xml:space="preserve"> car il ne permet pas de lever la mesure </w:t>
      </w:r>
      <w:r>
        <w:t>de détention avant qu</w:t>
      </w:r>
      <w:r w:rsidR="0058131A">
        <w:t>'</w:t>
      </w:r>
      <w:r>
        <w:t>une décision soit prise quant à la légalité de la mesure d</w:t>
      </w:r>
      <w:r w:rsidR="0058131A">
        <w:t>'</w:t>
      </w:r>
      <w:r>
        <w:t>expulsion et que la procédure y afférente est longue (</w:t>
      </w:r>
      <w:r w:rsidR="007360D6">
        <w:rPr>
          <w:i/>
        </w:rPr>
        <w:t>S.D. c. </w:t>
      </w:r>
      <w:r w:rsidRPr="00800055">
        <w:rPr>
          <w:i/>
        </w:rPr>
        <w:t>Grèce</w:t>
      </w:r>
      <w:r>
        <w:t>, n</w:t>
      </w:r>
      <w:r w:rsidR="00C907B3" w:rsidRPr="00C907B3">
        <w:rPr>
          <w:vertAlign w:val="superscript"/>
        </w:rPr>
        <w:t>o</w:t>
      </w:r>
      <w:r w:rsidR="007360D6">
        <w:t xml:space="preserve"> </w:t>
      </w:r>
      <w:r>
        <w:t>53541/07, §§ 73-74, 11 juin 2009).</w:t>
      </w:r>
    </w:p>
    <w:p w:rsidR="007360D6" w:rsidRDefault="00690200" w:rsidP="00106BBA">
      <w:pPr>
        <w:pStyle w:val="JuPara"/>
      </w:pPr>
      <w:r>
        <w:fldChar w:fldCharType="begin"/>
      </w:r>
      <w:r>
        <w:instrText xml:space="preserve"> SEQ level0 \*arabic </w:instrText>
      </w:r>
      <w:r>
        <w:fldChar w:fldCharType="separate"/>
      </w:r>
      <w:r w:rsidR="00377BBB">
        <w:rPr>
          <w:noProof/>
        </w:rPr>
        <w:t>31</w:t>
      </w:r>
      <w:r>
        <w:fldChar w:fldCharType="end"/>
      </w:r>
      <w:r>
        <w:t xml:space="preserve">.  Quant au premier, </w:t>
      </w:r>
      <w:r w:rsidR="00106BBA">
        <w:t>compte tenu du délai de quatorze jours qu</w:t>
      </w:r>
      <w:r w:rsidR="0058131A">
        <w:t>'</w:t>
      </w:r>
      <w:r w:rsidR="00106BBA">
        <w:t>il a fallu au président du tribunal administratif pour mettre fin à la détention du requérant, la Cour considère qu</w:t>
      </w:r>
      <w:r w:rsidR="0058131A">
        <w:t>'</w:t>
      </w:r>
      <w:r w:rsidR="00106BBA">
        <w:t>il n</w:t>
      </w:r>
      <w:r w:rsidR="0058131A">
        <w:t>'</w:t>
      </w:r>
      <w:r w:rsidR="00106BBA">
        <w:t>a pas été examiné « à bref délai » comme le requiert l</w:t>
      </w:r>
      <w:r w:rsidR="0058131A">
        <w:t>'</w:t>
      </w:r>
      <w:r w:rsidR="00106BBA">
        <w:t>article 5 § 4. Dans l</w:t>
      </w:r>
      <w:r w:rsidR="0058131A">
        <w:t>'</w:t>
      </w:r>
      <w:r w:rsidR="00106BBA">
        <w:t xml:space="preserve">affaire </w:t>
      </w:r>
      <w:r w:rsidR="00106BBA" w:rsidRPr="00106BBA">
        <w:rPr>
          <w:i/>
        </w:rPr>
        <w:t>Kadem c. Malte</w:t>
      </w:r>
      <w:r w:rsidR="00106BBA">
        <w:t xml:space="preserve"> (n</w:t>
      </w:r>
      <w:r w:rsidR="00C907B3" w:rsidRPr="00C907B3">
        <w:rPr>
          <w:vertAlign w:val="superscript"/>
        </w:rPr>
        <w:t>o</w:t>
      </w:r>
      <w:r w:rsidR="00106BBA">
        <w:t> 55263/00, 9 janvier 2003), qui po</w:t>
      </w:r>
      <w:r w:rsidR="009C49F6">
        <w:t xml:space="preserve">rtait sur </w:t>
      </w:r>
      <w:r w:rsidR="00106BBA">
        <w:t>un problème similaire, la Cour a jugé qu</w:t>
      </w:r>
      <w:r w:rsidR="0058131A">
        <w:t>'</w:t>
      </w:r>
      <w:r w:rsidR="00106BBA">
        <w:t xml:space="preserve">un délai de dix-sept jours ne satisfaisait </w:t>
      </w:r>
      <w:r w:rsidR="009C49F6">
        <w:t xml:space="preserve">pas </w:t>
      </w:r>
      <w:r w:rsidR="00106BBA">
        <w:t>aux exigences de cet article.</w:t>
      </w:r>
    </w:p>
    <w:p w:rsidR="00EC6427" w:rsidRPr="00906641" w:rsidRDefault="008C33BC">
      <w:pPr>
        <w:pStyle w:val="JuPara"/>
      </w:pPr>
      <w:r>
        <w:fldChar w:fldCharType="begin"/>
      </w:r>
      <w:r>
        <w:instrText xml:space="preserve"> SEQ level0 \*arabic </w:instrText>
      </w:r>
      <w:r>
        <w:fldChar w:fldCharType="separate"/>
      </w:r>
      <w:r w:rsidR="00377BBB">
        <w:rPr>
          <w:noProof/>
        </w:rPr>
        <w:t>32</w:t>
      </w:r>
      <w:r>
        <w:fldChar w:fldCharType="end"/>
      </w:r>
      <w:r>
        <w:t>.  </w:t>
      </w:r>
      <w:r w:rsidR="00EC6427" w:rsidRPr="00906641">
        <w:t xml:space="preserve">Ces éléments suffisent à la Cour pour conclure que </w:t>
      </w:r>
      <w:r w:rsidR="001807F2">
        <w:t xml:space="preserve">les deux recours qui </w:t>
      </w:r>
      <w:r w:rsidR="00C907B3">
        <w:t>ét</w:t>
      </w:r>
      <w:r w:rsidR="001807F2">
        <w:t xml:space="preserve">aient offerts au requérant par le droit grec </w:t>
      </w:r>
      <w:r w:rsidR="00C907B3">
        <w:t>n</w:t>
      </w:r>
      <w:r w:rsidR="0058131A">
        <w:t>'</w:t>
      </w:r>
      <w:r w:rsidR="00C907B3">
        <w:t>ont pas</w:t>
      </w:r>
      <w:r w:rsidR="001807F2">
        <w:t xml:space="preserve"> répond</w:t>
      </w:r>
      <w:r w:rsidR="00C907B3">
        <w:t>u</w:t>
      </w:r>
      <w:r w:rsidR="001807F2">
        <w:t xml:space="preserve"> aux exigences de l</w:t>
      </w:r>
      <w:r w:rsidR="0058131A">
        <w:t>'</w:t>
      </w:r>
      <w:r w:rsidR="001807F2">
        <w:t xml:space="preserve">article 5 § 4, en particulier à celle du </w:t>
      </w:r>
      <w:r>
        <w:t>« bref dél</w:t>
      </w:r>
      <w:r w:rsidR="001807F2">
        <w:t>ai »</w:t>
      </w:r>
      <w:r>
        <w:t xml:space="preserve">. Partant, il y a </w:t>
      </w:r>
      <w:r w:rsidR="001807F2">
        <w:t>eu violation de cet article</w:t>
      </w:r>
      <w:r>
        <w:t>.</w:t>
      </w:r>
    </w:p>
    <w:p w:rsidR="00EC6427" w:rsidRPr="00906641" w:rsidRDefault="008C33BC">
      <w:pPr>
        <w:pStyle w:val="JuHIRoman"/>
      </w:pPr>
      <w:r>
        <w:t>II</w:t>
      </w:r>
      <w:r w:rsidR="00EC6427" w:rsidRPr="00906641">
        <w:t>.  SUR L</w:t>
      </w:r>
      <w:r w:rsidR="0058131A">
        <w:t>'</w:t>
      </w:r>
      <w:r w:rsidR="00EC6427" w:rsidRPr="00906641">
        <w:t>APPLICATION DE L</w:t>
      </w:r>
      <w:r w:rsidR="0058131A">
        <w:t>'</w:t>
      </w:r>
      <w:r w:rsidR="00EC6427" w:rsidRPr="00906641">
        <w:t>ARTICLE 41 DE LA CONVENTION</w:t>
      </w:r>
    </w:p>
    <w:p w:rsidR="00EC6427" w:rsidRPr="00906641" w:rsidRDefault="00906641">
      <w:pPr>
        <w:pStyle w:val="JuPara"/>
        <w:keepNext/>
        <w:keepLines/>
      </w:pPr>
      <w:r w:rsidRPr="00906641">
        <w:fldChar w:fldCharType="begin"/>
      </w:r>
      <w:r w:rsidRPr="00906641">
        <w:instrText xml:space="preserve"> SEQ level0 \*arabic </w:instrText>
      </w:r>
      <w:r w:rsidRPr="00906641">
        <w:fldChar w:fldCharType="separate"/>
      </w:r>
      <w:r w:rsidR="00377BBB">
        <w:rPr>
          <w:noProof/>
        </w:rPr>
        <w:t>33</w:t>
      </w:r>
      <w:r w:rsidRPr="00906641">
        <w:fldChar w:fldCharType="end"/>
      </w:r>
      <w:r w:rsidR="00EC6427" w:rsidRPr="00906641">
        <w:t>.  Aux termes de l</w:t>
      </w:r>
      <w:r w:rsidR="0058131A">
        <w:t>'</w:t>
      </w:r>
      <w:r w:rsidR="00EC6427" w:rsidRPr="00906641">
        <w:t>article 41 de la Convention,</w:t>
      </w:r>
    </w:p>
    <w:p w:rsidR="00EC6427" w:rsidRPr="00906641" w:rsidRDefault="00EC6427">
      <w:pPr>
        <w:pStyle w:val="JuQuot"/>
        <w:keepNext/>
        <w:keepLines/>
      </w:pPr>
      <w:r w:rsidRPr="00906641">
        <w:t>« Si la Cour déclare qu</w:t>
      </w:r>
      <w:r w:rsidR="0058131A">
        <w:t>'</w:t>
      </w:r>
      <w:r w:rsidRPr="00906641">
        <w:t>il y a eu violation de la Convention ou de ses Protocoles, et si le droit interne de la Haute Partie contractante ne permet d</w:t>
      </w:r>
      <w:r w:rsidR="0058131A">
        <w:t>'</w:t>
      </w:r>
      <w:r w:rsidRPr="00906641">
        <w:t>effacer qu</w:t>
      </w:r>
      <w:r w:rsidR="0058131A">
        <w:t>'</w:t>
      </w:r>
      <w:r w:rsidRPr="00906641">
        <w:t>imparfaitement les conséquences de cette violation, la Cour accorde à la partie lésée, s</w:t>
      </w:r>
      <w:r w:rsidR="0058131A">
        <w:t>'</w:t>
      </w:r>
      <w:r w:rsidRPr="00906641">
        <w:t>il y a lieu, une satisfaction équitable. »</w:t>
      </w:r>
    </w:p>
    <w:p w:rsidR="00EC6427" w:rsidRPr="00906641" w:rsidRDefault="00EC6427">
      <w:pPr>
        <w:pStyle w:val="JuHA"/>
      </w:pPr>
      <w:r w:rsidRPr="00906641">
        <w:t>A.  Dommage</w:t>
      </w:r>
    </w:p>
    <w:p w:rsidR="00EC6427" w:rsidRPr="00906641" w:rsidRDefault="00BE32C6">
      <w:pPr>
        <w:pStyle w:val="JuPara"/>
      </w:pPr>
      <w:r>
        <w:fldChar w:fldCharType="begin"/>
      </w:r>
      <w:r>
        <w:instrText xml:space="preserve"> SEQ level0 \*arabic </w:instrText>
      </w:r>
      <w:r>
        <w:fldChar w:fldCharType="separate"/>
      </w:r>
      <w:r w:rsidR="00377BBB">
        <w:rPr>
          <w:noProof/>
        </w:rPr>
        <w:t>34</w:t>
      </w:r>
      <w:r>
        <w:fldChar w:fldCharType="end"/>
      </w:r>
      <w:r>
        <w:t>.  </w:t>
      </w:r>
      <w:r w:rsidR="00906641" w:rsidRPr="00906641">
        <w:t>Les requérants réclament</w:t>
      </w:r>
      <w:r w:rsidR="0081626D">
        <w:t xml:space="preserve"> 20 000 </w:t>
      </w:r>
      <w:r w:rsidR="00EC6427" w:rsidRPr="00906641">
        <w:t xml:space="preserve">euros (EUR) au </w:t>
      </w:r>
      <w:r w:rsidR="0081626D">
        <w:t>titre du préjudice</w:t>
      </w:r>
      <w:r w:rsidR="00EC6427" w:rsidRPr="00906641">
        <w:t xml:space="preserve"> moral </w:t>
      </w:r>
      <w:r w:rsidR="00906641" w:rsidRPr="00906641">
        <w:t>qu</w:t>
      </w:r>
      <w:r w:rsidR="0058131A">
        <w:t>'</w:t>
      </w:r>
      <w:r w:rsidR="00906641" w:rsidRPr="00906641">
        <w:t>ils auraient</w:t>
      </w:r>
      <w:r w:rsidR="00EC6427" w:rsidRPr="00906641">
        <w:t xml:space="preserve"> subi.</w:t>
      </w:r>
    </w:p>
    <w:p w:rsidR="00EC6427" w:rsidRPr="00906641" w:rsidRDefault="00906641">
      <w:pPr>
        <w:pStyle w:val="JuPara"/>
      </w:pPr>
      <w:r w:rsidRPr="00906641">
        <w:fldChar w:fldCharType="begin"/>
      </w:r>
      <w:r w:rsidRPr="00906641">
        <w:instrText xml:space="preserve"> SEQ level0 \*arabic </w:instrText>
      </w:r>
      <w:r w:rsidRPr="00906641">
        <w:fldChar w:fldCharType="separate"/>
      </w:r>
      <w:r w:rsidR="00377BBB">
        <w:rPr>
          <w:noProof/>
        </w:rPr>
        <w:t>35</w:t>
      </w:r>
      <w:r w:rsidRPr="00906641">
        <w:fldChar w:fldCharType="end"/>
      </w:r>
      <w:r w:rsidR="00D04B55">
        <w:t>.  Le Gouvernement estime que le constat de violation constituerait une satisfaction équitable suffisante.</w:t>
      </w:r>
    </w:p>
    <w:p w:rsidR="00EC6427" w:rsidRPr="00906641" w:rsidRDefault="00906641">
      <w:pPr>
        <w:pStyle w:val="JuPara"/>
      </w:pPr>
      <w:r w:rsidRPr="00906641">
        <w:fldChar w:fldCharType="begin"/>
      </w:r>
      <w:r w:rsidRPr="00906641">
        <w:instrText xml:space="preserve"> SEQ level0 \*arabic </w:instrText>
      </w:r>
      <w:r w:rsidRPr="00906641">
        <w:fldChar w:fldCharType="separate"/>
      </w:r>
      <w:r w:rsidR="00377BBB">
        <w:rPr>
          <w:noProof/>
        </w:rPr>
        <w:t>36</w:t>
      </w:r>
      <w:r w:rsidRPr="00906641">
        <w:fldChar w:fldCharType="end"/>
      </w:r>
      <w:r w:rsidR="00BE32C6">
        <w:t xml:space="preserve">.  La Cour </w:t>
      </w:r>
      <w:r w:rsidR="00EC6427" w:rsidRPr="00906641">
        <w:t>considère qu</w:t>
      </w:r>
      <w:r w:rsidR="0058131A">
        <w:t>'</w:t>
      </w:r>
      <w:r w:rsidR="00EC6427" w:rsidRPr="00906641">
        <w:t>il y a lieu d</w:t>
      </w:r>
      <w:r w:rsidR="0058131A">
        <w:t>'</w:t>
      </w:r>
      <w:r w:rsidR="00EC6427" w:rsidRPr="00906641">
        <w:t xml:space="preserve">octroyer </w:t>
      </w:r>
      <w:r w:rsidR="00BA6B8A">
        <w:t xml:space="preserve">au premier </w:t>
      </w:r>
      <w:r w:rsidRPr="00906641">
        <w:t>requérant</w:t>
      </w:r>
      <w:r w:rsidR="00000B81">
        <w:t xml:space="preserve"> 5 000</w:t>
      </w:r>
      <w:r w:rsidR="00EC6427" w:rsidRPr="00906641">
        <w:t xml:space="preserve"> EUR au titre du préjudice moral.</w:t>
      </w:r>
    </w:p>
    <w:p w:rsidR="00EC6427" w:rsidRPr="00906641" w:rsidRDefault="00EC6427">
      <w:pPr>
        <w:pStyle w:val="JuHA"/>
      </w:pPr>
      <w:r w:rsidRPr="00906641">
        <w:t>B.  Frais et dépens</w:t>
      </w:r>
    </w:p>
    <w:p w:rsidR="00EC6427" w:rsidRPr="00906641" w:rsidRDefault="00906641">
      <w:pPr>
        <w:pStyle w:val="JuPara"/>
      </w:pPr>
      <w:r w:rsidRPr="00906641">
        <w:fldChar w:fldCharType="begin"/>
      </w:r>
      <w:r w:rsidRPr="00906641">
        <w:instrText xml:space="preserve"> SEQ level0 \*arabic </w:instrText>
      </w:r>
      <w:r w:rsidRPr="00906641">
        <w:fldChar w:fldCharType="separate"/>
      </w:r>
      <w:r w:rsidR="00377BBB">
        <w:rPr>
          <w:noProof/>
        </w:rPr>
        <w:t>37</w:t>
      </w:r>
      <w:r w:rsidRPr="00906641">
        <w:fldChar w:fldCharType="end"/>
      </w:r>
      <w:r w:rsidR="00EC6427" w:rsidRPr="00906641">
        <w:t>.  </w:t>
      </w:r>
      <w:r w:rsidRPr="00906641">
        <w:t>Les requérants demandent</w:t>
      </w:r>
      <w:r w:rsidR="00EC6427" w:rsidRPr="00906641">
        <w:t xml:space="preserve"> également</w:t>
      </w:r>
      <w:r w:rsidR="0081626D">
        <w:t xml:space="preserve"> </w:t>
      </w:r>
      <w:r w:rsidR="00130B46">
        <w:t>2</w:t>
      </w:r>
      <w:r w:rsidR="0081626D">
        <w:t> 000</w:t>
      </w:r>
      <w:r w:rsidR="00EC6427" w:rsidRPr="00906641">
        <w:t xml:space="preserve"> EUR pour les frais et dépens </w:t>
      </w:r>
      <w:r w:rsidR="00147398" w:rsidRPr="00906641">
        <w:t>engagés</w:t>
      </w:r>
      <w:r w:rsidR="0081626D">
        <w:t xml:space="preserve"> devant </w:t>
      </w:r>
      <w:r w:rsidR="00EC6427" w:rsidRPr="00906641">
        <w:t>le</w:t>
      </w:r>
      <w:r w:rsidR="0081626D">
        <w:t>s juridictions internes</w:t>
      </w:r>
      <w:r w:rsidR="00566428">
        <w:t xml:space="preserve"> (800 EUR pour les objections devant le tribunal administratif d</w:t>
      </w:r>
      <w:r w:rsidR="0058131A">
        <w:t>'</w:t>
      </w:r>
      <w:r w:rsidR="00566428">
        <w:t>Athènes et 1 200 EUR pour le recours en annulation et suspension de la décision d</w:t>
      </w:r>
      <w:r w:rsidR="0058131A">
        <w:t>'</w:t>
      </w:r>
      <w:r w:rsidR="00566428">
        <w:t>éloignement)</w:t>
      </w:r>
      <w:r w:rsidR="0081626D">
        <w:t xml:space="preserve"> et</w:t>
      </w:r>
      <w:r w:rsidR="00EC6427" w:rsidRPr="00906641">
        <w:t xml:space="preserve"> </w:t>
      </w:r>
      <w:r w:rsidR="009C49F6">
        <w:t>1 000 </w:t>
      </w:r>
      <w:r w:rsidR="00130B46">
        <w:t xml:space="preserve">EUR </w:t>
      </w:r>
      <w:r w:rsidR="00EC6427" w:rsidRPr="00906641">
        <w:t xml:space="preserve">pour ceux </w:t>
      </w:r>
      <w:r w:rsidR="00147398" w:rsidRPr="00906641">
        <w:t xml:space="preserve">engagés </w:t>
      </w:r>
      <w:r w:rsidR="0081626D">
        <w:t>devant</w:t>
      </w:r>
      <w:r w:rsidR="00EC6427" w:rsidRPr="00906641">
        <w:t xml:space="preserve"> la Cour.</w:t>
      </w:r>
    </w:p>
    <w:p w:rsidR="00EC6427" w:rsidRPr="00906641" w:rsidRDefault="00906641">
      <w:pPr>
        <w:pStyle w:val="JuPara"/>
      </w:pPr>
      <w:r w:rsidRPr="00906641">
        <w:fldChar w:fldCharType="begin"/>
      </w:r>
      <w:r w:rsidRPr="00906641">
        <w:instrText xml:space="preserve"> SEQ level0 \*arabic </w:instrText>
      </w:r>
      <w:r w:rsidRPr="00906641">
        <w:fldChar w:fldCharType="separate"/>
      </w:r>
      <w:r w:rsidR="00377BBB">
        <w:rPr>
          <w:noProof/>
        </w:rPr>
        <w:t>38</w:t>
      </w:r>
      <w:r w:rsidRPr="00906641">
        <w:fldChar w:fldCharType="end"/>
      </w:r>
      <w:r w:rsidR="00566428">
        <w:t xml:space="preserve">.  Le Gouvernement souligne que toutes les procédures devant les juridictions grecques ne concernaient pas la détention du requérant. </w:t>
      </w:r>
      <w:r w:rsidR="00BE78ED">
        <w:t>La somme de 3 000 EUR réclamée e</w:t>
      </w:r>
      <w:r w:rsidR="009C49F6">
        <w:t>s</w:t>
      </w:r>
      <w:r w:rsidR="00BE78ED">
        <w:t xml:space="preserve">t non seulement excessive mais elle ne couvre pas les frais réellement engagés et nécessaires pour le </w:t>
      </w:r>
      <w:r w:rsidR="009C49F6">
        <w:t>traitement de la re</w:t>
      </w:r>
      <w:r w:rsidR="00BE78ED">
        <w:t>quête.</w:t>
      </w:r>
    </w:p>
    <w:p w:rsidR="007360D6" w:rsidRDefault="00906641">
      <w:pPr>
        <w:pStyle w:val="JuPara"/>
      </w:pPr>
      <w:r w:rsidRPr="00906641">
        <w:fldChar w:fldCharType="begin"/>
      </w:r>
      <w:r w:rsidRPr="00906641">
        <w:instrText xml:space="preserve"> SEQ level0 \*arabic </w:instrText>
      </w:r>
      <w:r w:rsidRPr="00906641">
        <w:fldChar w:fldCharType="separate"/>
      </w:r>
      <w:r w:rsidR="00377BBB">
        <w:rPr>
          <w:noProof/>
        </w:rPr>
        <w:t>39</w:t>
      </w:r>
      <w:r w:rsidRPr="00906641">
        <w:fldChar w:fldCharType="end"/>
      </w:r>
      <w:r w:rsidR="00EC6427" w:rsidRPr="00906641">
        <w:t>.  </w:t>
      </w:r>
      <w:r w:rsidRPr="00906641">
        <w:t>Selon la jurisprudence de la Cour, un requérant ne peut obtenir le remboursement de ses frais et dépens que dans la mesure où se trouvent établis leur réalité, leur nécessité et le caractère raisonnable de leur taux.</w:t>
      </w:r>
    </w:p>
    <w:p w:rsidR="00BE32C6" w:rsidRPr="00906641" w:rsidRDefault="00BE32C6">
      <w:pPr>
        <w:pStyle w:val="JuPara"/>
      </w:pPr>
      <w:r>
        <w:fldChar w:fldCharType="begin"/>
      </w:r>
      <w:r>
        <w:instrText xml:space="preserve"> SEQ level0 \*arabic </w:instrText>
      </w:r>
      <w:r>
        <w:fldChar w:fldCharType="separate"/>
      </w:r>
      <w:r w:rsidR="00377BBB">
        <w:rPr>
          <w:noProof/>
        </w:rPr>
        <w:t>40</w:t>
      </w:r>
      <w:r>
        <w:fldChar w:fldCharType="end"/>
      </w:r>
      <w:r>
        <w:t>.  </w:t>
      </w:r>
      <w:r w:rsidR="00BE78ED">
        <w:t>Statuant en équité, la Cour estime dev</w:t>
      </w:r>
      <w:r w:rsidR="00C907B3">
        <w:t>oir accorder au requérant 1 000 </w:t>
      </w:r>
      <w:r w:rsidR="00BE78ED">
        <w:t>EUR à ce titre.</w:t>
      </w:r>
    </w:p>
    <w:p w:rsidR="00EC6427" w:rsidRPr="00906641" w:rsidRDefault="00EC6427">
      <w:pPr>
        <w:pStyle w:val="JuHA"/>
      </w:pPr>
      <w:r w:rsidRPr="00906641">
        <w:t>C.  Intérêts moratoires</w:t>
      </w:r>
    </w:p>
    <w:p w:rsidR="00EC6427" w:rsidRPr="00906641" w:rsidRDefault="00906641">
      <w:pPr>
        <w:pStyle w:val="JuPara"/>
      </w:pPr>
      <w:r w:rsidRPr="00906641">
        <w:fldChar w:fldCharType="begin"/>
      </w:r>
      <w:r w:rsidRPr="00906641">
        <w:instrText xml:space="preserve"> SEQ level0 \*arabic </w:instrText>
      </w:r>
      <w:r w:rsidRPr="00906641">
        <w:fldChar w:fldCharType="separate"/>
      </w:r>
      <w:r w:rsidR="00377BBB">
        <w:rPr>
          <w:noProof/>
        </w:rPr>
        <w:t>41</w:t>
      </w:r>
      <w:r w:rsidRPr="00906641">
        <w:fldChar w:fldCharType="end"/>
      </w:r>
      <w:r w:rsidR="00EC6427" w:rsidRPr="00906641">
        <w:t xml:space="preserve">.  La Cour juge approprié de </w:t>
      </w:r>
      <w:r w:rsidR="0053642D" w:rsidRPr="00906641">
        <w:t>calquer</w:t>
      </w:r>
      <w:r w:rsidR="00EC6427" w:rsidRPr="00906641">
        <w:t xml:space="preserve"> le taux des intérêts moratoires sur le taux d</w:t>
      </w:r>
      <w:r w:rsidR="0058131A">
        <w:t>'</w:t>
      </w:r>
      <w:r w:rsidR="00EC6427" w:rsidRPr="00906641">
        <w:t>intérêt de la facilité de prêt marginal de la Banque centrale européenne majoré de trois points de pourcentage.</w:t>
      </w:r>
    </w:p>
    <w:p w:rsidR="00EC6427" w:rsidRPr="00906641" w:rsidRDefault="00C907B3">
      <w:pPr>
        <w:pStyle w:val="JuHHead"/>
      </w:pPr>
      <w:r>
        <w:t>PAR CES MOTIFS, LA COUR</w:t>
      </w:r>
      <w:r w:rsidR="00906641" w:rsidRPr="00906641">
        <w:t>, À L</w:t>
      </w:r>
      <w:r w:rsidR="0058131A">
        <w:t>'</w:t>
      </w:r>
      <w:r>
        <w:t>UNANIMITÉ,</w:t>
      </w:r>
    </w:p>
    <w:p w:rsidR="00EC6427" w:rsidRPr="00906641" w:rsidRDefault="00EC6427">
      <w:pPr>
        <w:pStyle w:val="JuList"/>
      </w:pPr>
      <w:r w:rsidRPr="00906641">
        <w:t>1.  </w:t>
      </w:r>
      <w:r w:rsidRPr="00906641">
        <w:rPr>
          <w:i/>
        </w:rPr>
        <w:t>Déclare</w:t>
      </w:r>
      <w:r w:rsidR="00906641" w:rsidRPr="00906641">
        <w:t xml:space="preserve"> la requête recevable</w:t>
      </w:r>
      <w:r w:rsidRPr="00906641">
        <w:t> ;</w:t>
      </w:r>
    </w:p>
    <w:p w:rsidR="00EC6427" w:rsidRPr="00906641" w:rsidRDefault="00EC6427">
      <w:pPr>
        <w:pStyle w:val="JuList"/>
      </w:pPr>
    </w:p>
    <w:p w:rsidR="00EC6427" w:rsidRPr="00906641" w:rsidRDefault="00EC6427">
      <w:pPr>
        <w:pStyle w:val="JuList"/>
      </w:pPr>
      <w:r w:rsidRPr="00906641">
        <w:t>2.  </w:t>
      </w:r>
      <w:r w:rsidRPr="00906641">
        <w:rPr>
          <w:i/>
        </w:rPr>
        <w:t>Dit</w:t>
      </w:r>
      <w:r w:rsidRPr="00906641">
        <w:t xml:space="preserve"> qu</w:t>
      </w:r>
      <w:r w:rsidR="0058131A">
        <w:t>'</w:t>
      </w:r>
      <w:r w:rsidRPr="00906641">
        <w:t>il y a eu violation de l</w:t>
      </w:r>
      <w:r w:rsidR="0058131A">
        <w:t>'</w:t>
      </w:r>
      <w:r w:rsidR="00BE32C6">
        <w:t>article 5 § 4</w:t>
      </w:r>
      <w:r w:rsidRPr="00906641">
        <w:t xml:space="preserve"> de la Convention ;</w:t>
      </w:r>
    </w:p>
    <w:p w:rsidR="00EC6427" w:rsidRPr="00906641" w:rsidRDefault="00EC6427">
      <w:pPr>
        <w:pStyle w:val="JuList"/>
      </w:pPr>
    </w:p>
    <w:p w:rsidR="007360D6" w:rsidRDefault="00BE32C6">
      <w:pPr>
        <w:pStyle w:val="JuList"/>
      </w:pPr>
      <w:r>
        <w:t>3</w:t>
      </w:r>
      <w:r w:rsidR="00EC6427" w:rsidRPr="00906641">
        <w:t>.  </w:t>
      </w:r>
      <w:r w:rsidR="00EC6427" w:rsidRPr="00906641">
        <w:rPr>
          <w:i/>
        </w:rPr>
        <w:t>Dit</w:t>
      </w:r>
    </w:p>
    <w:p w:rsidR="00BE78ED" w:rsidRDefault="00EC6427">
      <w:pPr>
        <w:pStyle w:val="JuLista"/>
      </w:pPr>
      <w:r w:rsidRPr="00906641">
        <w:t>a)  que l</w:t>
      </w:r>
      <w:r w:rsidR="0058131A">
        <w:t>'</w:t>
      </w:r>
      <w:r w:rsidRPr="00906641">
        <w:t xml:space="preserve">Etat défendeur doit verser </w:t>
      </w:r>
      <w:r w:rsidR="00906641" w:rsidRPr="00906641">
        <w:t>au</w:t>
      </w:r>
      <w:r w:rsidR="00C907B3">
        <w:t xml:space="preserve"> premier requérant</w:t>
      </w:r>
      <w:r w:rsidRPr="00906641">
        <w:t>, dans les trois mois</w:t>
      </w:r>
      <w:r w:rsidR="00410613">
        <w:t xml:space="preserve"> </w:t>
      </w:r>
      <w:r w:rsidR="00410613" w:rsidRPr="00410613">
        <w:t>à compter du jour où l</w:t>
      </w:r>
      <w:r w:rsidR="0058131A">
        <w:t>'</w:t>
      </w:r>
      <w:r w:rsidR="00410613" w:rsidRPr="00410613">
        <w:t>arrêt sera devenu définitif conformément à l</w:t>
      </w:r>
      <w:r w:rsidR="0058131A">
        <w:t>'</w:t>
      </w:r>
      <w:r w:rsidR="00410613" w:rsidRPr="00410613">
        <w:t>article 44 § 2 de la Convention</w:t>
      </w:r>
      <w:r w:rsidR="00410613">
        <w:rPr>
          <w:rStyle w:val="FootnoteReference"/>
        </w:rPr>
        <w:footnoteReference w:id="1"/>
      </w:r>
      <w:r w:rsidR="00D66A43">
        <w:t>,</w:t>
      </w:r>
      <w:r w:rsidR="00BE78ED">
        <w:t xml:space="preserve"> les sommes suivantes</w:t>
      </w:r>
      <w:r w:rsidR="00D66A43">
        <w:t> :</w:t>
      </w:r>
    </w:p>
    <w:p w:rsidR="00D66A43" w:rsidRPr="006235D6" w:rsidRDefault="00D66A43" w:rsidP="00D66A43">
      <w:pPr>
        <w:pStyle w:val="JuListi"/>
        <w:rPr>
          <w:noProof/>
        </w:rPr>
      </w:pPr>
      <w:r w:rsidRPr="006235D6">
        <w:rPr>
          <w:noProof/>
        </w:rPr>
        <w:t>i</w:t>
      </w:r>
      <w:r>
        <w:rPr>
          <w:noProof/>
        </w:rPr>
        <w:t>.</w:t>
      </w:r>
      <w:r w:rsidRPr="006235D6">
        <w:rPr>
          <w:noProof/>
        </w:rPr>
        <w:t>  </w:t>
      </w:r>
      <w:r>
        <w:rPr>
          <w:noProof/>
        </w:rPr>
        <w:t xml:space="preserve">5 000 EUR (cinq mille </w:t>
      </w:r>
      <w:r w:rsidRPr="006235D6">
        <w:rPr>
          <w:noProof/>
        </w:rPr>
        <w:t>euros), plus tout montant pouvant être dû à titre d</w:t>
      </w:r>
      <w:r w:rsidR="0058131A">
        <w:rPr>
          <w:noProof/>
        </w:rPr>
        <w:t>'</w:t>
      </w:r>
      <w:r w:rsidRPr="006235D6">
        <w:rPr>
          <w:noProof/>
        </w:rPr>
        <w:t xml:space="preserve">impôt, pour </w:t>
      </w:r>
      <w:r>
        <w:rPr>
          <w:noProof/>
        </w:rPr>
        <w:t xml:space="preserve">le </w:t>
      </w:r>
      <w:r w:rsidRPr="006235D6">
        <w:rPr>
          <w:noProof/>
        </w:rPr>
        <w:t>dommage moral ;</w:t>
      </w:r>
    </w:p>
    <w:p w:rsidR="00D66A43" w:rsidRPr="006811C8" w:rsidRDefault="00D66A43" w:rsidP="00D66A43">
      <w:pPr>
        <w:pStyle w:val="JuListi"/>
      </w:pPr>
      <w:r>
        <w:t>ii.  1 000 EUR (mille euros</w:t>
      </w:r>
      <w:r w:rsidRPr="006811C8">
        <w:t>), plus tout montant pouvant être dû à titre d</w:t>
      </w:r>
      <w:r w:rsidR="0058131A">
        <w:t>'</w:t>
      </w:r>
      <w:r>
        <w:t>impôt par le premier</w:t>
      </w:r>
      <w:r w:rsidRPr="006811C8">
        <w:t xml:space="preserve"> requérant, pour </w:t>
      </w:r>
      <w:r>
        <w:t xml:space="preserve">les </w:t>
      </w:r>
      <w:r w:rsidRPr="006811C8">
        <w:t>frais et dépens ;</w:t>
      </w:r>
    </w:p>
    <w:p w:rsidR="00EC6427" w:rsidRPr="00906641" w:rsidRDefault="00EC6427">
      <w:pPr>
        <w:pStyle w:val="JuLista"/>
      </w:pPr>
      <w:r w:rsidRPr="00906641">
        <w:t>b)  qu</w:t>
      </w:r>
      <w:r w:rsidR="0058131A">
        <w:t>'</w:t>
      </w:r>
      <w:r w:rsidRPr="00906641">
        <w:t>à compter de l</w:t>
      </w:r>
      <w:r w:rsidR="0058131A">
        <w:t>'</w:t>
      </w:r>
      <w:r w:rsidRPr="00906641">
        <w:t>expiration dudit délai et jusqu</w:t>
      </w:r>
      <w:r w:rsidR="0058131A">
        <w:t>'</w:t>
      </w:r>
      <w:r w:rsidR="00D66A43">
        <w:t>au versement, ces montants ser</w:t>
      </w:r>
      <w:r w:rsidRPr="00906641">
        <w:t>ont à majorer d</w:t>
      </w:r>
      <w:r w:rsidR="0058131A">
        <w:t>'</w:t>
      </w:r>
      <w:r w:rsidRPr="00906641">
        <w:t>un intérêt simple à un taux égal à celui de la facilité de prêt marginal de la Banque centrale européenne applicable pendant cette période, augmenté de trois points de pourcentage </w:t>
      </w:r>
      <w:r w:rsidR="00D66A43">
        <w:t>;</w:t>
      </w:r>
    </w:p>
    <w:p w:rsidR="00EC6427" w:rsidRPr="00906641" w:rsidRDefault="00EC6427">
      <w:pPr>
        <w:pStyle w:val="JuLista"/>
      </w:pPr>
    </w:p>
    <w:p w:rsidR="00EC6427" w:rsidRPr="00906641" w:rsidRDefault="00BE32C6">
      <w:pPr>
        <w:pStyle w:val="JuList"/>
      </w:pPr>
      <w:r>
        <w:t>4</w:t>
      </w:r>
      <w:r w:rsidR="00EC6427" w:rsidRPr="00906641">
        <w:t>.  </w:t>
      </w:r>
      <w:r w:rsidR="00EC6427" w:rsidRPr="00906641">
        <w:rPr>
          <w:i/>
        </w:rPr>
        <w:t>Rejette</w:t>
      </w:r>
      <w:r w:rsidR="00EC6427" w:rsidRPr="00906641">
        <w:t xml:space="preserve"> la demande de satisfaction équitable pour le surplus.</w:t>
      </w:r>
    </w:p>
    <w:p w:rsidR="00560B55" w:rsidRPr="00906641" w:rsidRDefault="00EC6427" w:rsidP="00560B55">
      <w:pPr>
        <w:pStyle w:val="JuParaLast"/>
      </w:pPr>
      <w:r w:rsidRPr="00906641">
        <w:t>Fait en français, puis communiqué par écrit le </w:t>
      </w:r>
      <w:r w:rsidR="00C907B3">
        <w:t>28 octobre 2010</w:t>
      </w:r>
      <w:r w:rsidR="0053642D" w:rsidRPr="00906641">
        <w:t>,</w:t>
      </w:r>
      <w:r w:rsidRPr="00906641">
        <w:t xml:space="preserve"> en application de l</w:t>
      </w:r>
      <w:r w:rsidR="0058131A">
        <w:t>'</w:t>
      </w:r>
      <w:r w:rsidRPr="00906641">
        <w:t>article 77 §§ 2 et 3 du règlement.</w:t>
      </w:r>
    </w:p>
    <w:p w:rsidR="00EC6427" w:rsidRPr="00D66A43" w:rsidRDefault="00620817" w:rsidP="0009234F">
      <w:pPr>
        <w:pStyle w:val="JuSigned"/>
        <w:keepNext/>
        <w:keepLines/>
      </w:pPr>
      <w:r w:rsidRPr="00906641">
        <w:tab/>
      </w:r>
      <w:r w:rsidR="00906641" w:rsidRPr="00D66A43">
        <w:t>Søren Nielsen</w:t>
      </w:r>
      <w:r w:rsidR="004C7DF5" w:rsidRPr="00D66A43">
        <w:tab/>
      </w:r>
      <w:r w:rsidR="00D66A43" w:rsidRPr="00176DF9">
        <w:t>Nina Vaji</w:t>
      </w:r>
      <w:r w:rsidR="00D66A43">
        <w:t>ć</w:t>
      </w:r>
      <w:r w:rsidR="004C7DF5" w:rsidRPr="00D66A43">
        <w:br/>
      </w:r>
      <w:r w:rsidR="004C7DF5" w:rsidRPr="00D66A43">
        <w:tab/>
      </w:r>
      <w:r w:rsidR="00906641" w:rsidRPr="00D66A43">
        <w:t>Greffier</w:t>
      </w:r>
      <w:r w:rsidR="004C7DF5" w:rsidRPr="00D66A43">
        <w:tab/>
      </w:r>
      <w:r w:rsidR="00906641" w:rsidRPr="00D66A43">
        <w:t>Présidente</w:t>
      </w:r>
    </w:p>
    <w:sectPr w:rsidR="00EC6427" w:rsidRPr="00D66A43" w:rsidSect="00C907B3">
      <w:headerReference w:type="even" r:id="rId11"/>
      <w:headerReference w:type="default" r:id="rId12"/>
      <w:footerReference w:type="default" r:id="rId13"/>
      <w:footnotePr>
        <w:numRestart w:val="eachPage"/>
      </w:footnotePr>
      <w:pgSz w:w="11906" w:h="16838" w:code="9"/>
      <w:pgMar w:top="2274" w:right="2274" w:bottom="2274" w:left="2274" w:header="1701"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C1" w:rsidRDefault="000C3EC1">
      <w:r>
        <w:separator/>
      </w:r>
    </w:p>
  </w:endnote>
  <w:endnote w:type="continuationSeparator" w:id="0">
    <w:p w:rsidR="000C3EC1" w:rsidRDefault="000C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1" w:rsidRPr="00150BFA" w:rsidRDefault="000C3EC1" w:rsidP="000F6204">
    <w:pPr>
      <w:jc w:val="center"/>
      <w:rPr>
        <w:sz w:val="4"/>
        <w:szCs w:val="4"/>
      </w:rPr>
    </w:pPr>
    <w:r w:rsidRPr="00150BF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5pt;height:32.9pt">
          <v:imagedata r:id="rId1" o:title="DocFooter-03"/>
        </v:shape>
      </w:pict>
    </w:r>
  </w:p>
  <w:p w:rsidR="000C3EC1" w:rsidRDefault="000C3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1" w:rsidRPr="00150BFA" w:rsidRDefault="000C3EC1" w:rsidP="000F6204">
    <w:pPr>
      <w:jc w:val="center"/>
      <w:rPr>
        <w:sz w:val="4"/>
        <w:szCs w:val="4"/>
      </w:rPr>
    </w:pPr>
  </w:p>
  <w:p w:rsidR="000C3EC1" w:rsidRDefault="000C3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C1" w:rsidRDefault="000C3EC1">
      <w:r>
        <w:separator/>
      </w:r>
    </w:p>
  </w:footnote>
  <w:footnote w:type="continuationSeparator" w:id="0">
    <w:p w:rsidR="000C3EC1" w:rsidRDefault="000C3EC1">
      <w:r>
        <w:continuationSeparator/>
      </w:r>
    </w:p>
  </w:footnote>
  <w:footnote w:id="1">
    <w:p w:rsidR="00410613" w:rsidRDefault="00410613">
      <w:pPr>
        <w:pStyle w:val="FootnoteText"/>
      </w:pPr>
      <w:r>
        <w:rPr>
          <w:rStyle w:val="FootnoteReference"/>
        </w:rPr>
        <w:footnoteRef/>
      </w:r>
      <w:r>
        <w:t xml:space="preserve"> Rectifié le 18 novembre 2010 : « </w:t>
      </w:r>
      <w:r w:rsidRPr="00410613">
        <w:t>à compter du jour où l’arrêt sera devenu définitif conformément à l’article 44 § 2 de la Convention</w:t>
      </w:r>
      <w:r>
        <w:t> » a été ajouté.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1" w:rsidRPr="00C00F0F" w:rsidRDefault="000C3EC1">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pt;height:164.3pt">
          <v:imagedata r:id="rId1" o:title="TranspDocHeaderBigBlack"/>
        </v:shape>
      </w:pict>
    </w:r>
  </w:p>
  <w:p w:rsidR="000C3EC1" w:rsidRPr="00C907B3" w:rsidRDefault="000C3EC1" w:rsidP="00C907B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1" w:rsidRPr="00DE593D" w:rsidRDefault="000C3EC1">
    <w:pPr>
      <w:pStyle w:val="JuHeade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377BBB">
      <w:rPr>
        <w:rStyle w:val="PageNumber"/>
        <w:noProof/>
        <w:lang w:val="en-US"/>
      </w:rPr>
      <w:t>50</w:t>
    </w:r>
    <w:r>
      <w:rPr>
        <w:rStyle w:val="PageNumber"/>
        <w:lang w:val="en-US"/>
      </w:rPr>
      <w:fldChar w:fldCharType="end"/>
    </w:r>
    <w:r w:rsidRPr="00DE593D">
      <w:rPr>
        <w:rStyle w:val="PageNumber"/>
        <w:lang w:val="en-US"/>
      </w:rPr>
      <w:tab/>
    </w:r>
    <w:r>
      <w:rPr>
        <w:lang w:val="en-US"/>
      </w:rPr>
      <w:t>ARRÊT</w:t>
    </w:r>
    <w:r w:rsidRPr="00DE593D">
      <w:rPr>
        <w:lang w:val="en-US"/>
      </w:rPr>
      <w:t xml:space="preserve"> </w:t>
    </w:r>
    <w:r>
      <w:rPr>
        <w:lang w:val="en-US"/>
      </w:rPr>
      <w:t>BUBULLIMA c. GRÈCE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1" w:rsidRPr="00DE593D" w:rsidRDefault="000C3EC1">
    <w:pPr>
      <w:pStyle w:val="JuHeader"/>
      <w:rPr>
        <w:lang w:val="en-US"/>
      </w:rPr>
    </w:pPr>
    <w:r>
      <w:tab/>
    </w:r>
    <w:r>
      <w:rPr>
        <w:lang w:val="en-US"/>
      </w:rPr>
      <w:t>ARRÊT</w:t>
    </w:r>
    <w:r w:rsidRPr="00DE593D">
      <w:rPr>
        <w:lang w:val="en-US"/>
      </w:rPr>
      <w:t xml:space="preserve"> </w:t>
    </w:r>
    <w:r>
      <w:rPr>
        <w:lang w:val="en-US"/>
      </w:rPr>
      <w:t>BUBULLIMA c. GRÈCE</w:t>
    </w:r>
    <w:r w:rsidRPr="00DE593D">
      <w:rPr>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377BBB">
      <w:rPr>
        <w:rStyle w:val="PageNumber"/>
        <w:noProof/>
        <w:lang w:val="en-US"/>
      </w:rPr>
      <w:t>50</w:t>
    </w:r>
    <w:r>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8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1"/>
    <w:docVar w:name="ETRANSMISSION" w:val=" "/>
    <w:docVar w:name="L4_1Annex" w:val="0"/>
    <w:docVar w:name="L4_1Anonymity" w:val="0"/>
    <w:docVar w:name="L4_1AppNatList" w:val="albanais"/>
    <w:docVar w:name="SignForeName" w:val="0"/>
  </w:docVars>
  <w:rsids>
    <w:rsidRoot w:val="00906641"/>
    <w:rsid w:val="00000A8E"/>
    <w:rsid w:val="00000B81"/>
    <w:rsid w:val="00006607"/>
    <w:rsid w:val="0000732D"/>
    <w:rsid w:val="0001493E"/>
    <w:rsid w:val="0003067A"/>
    <w:rsid w:val="000346B8"/>
    <w:rsid w:val="000372C9"/>
    <w:rsid w:val="00042DCF"/>
    <w:rsid w:val="00076451"/>
    <w:rsid w:val="00083A02"/>
    <w:rsid w:val="0009234F"/>
    <w:rsid w:val="0009497E"/>
    <w:rsid w:val="0009688D"/>
    <w:rsid w:val="000A1ADF"/>
    <w:rsid w:val="000A3D31"/>
    <w:rsid w:val="000B3205"/>
    <w:rsid w:val="000B7194"/>
    <w:rsid w:val="000C3EC1"/>
    <w:rsid w:val="000D6013"/>
    <w:rsid w:val="000E78C7"/>
    <w:rsid w:val="000F6204"/>
    <w:rsid w:val="00106BBA"/>
    <w:rsid w:val="00126687"/>
    <w:rsid w:val="00130B46"/>
    <w:rsid w:val="001352AA"/>
    <w:rsid w:val="00137037"/>
    <w:rsid w:val="00147398"/>
    <w:rsid w:val="001524AA"/>
    <w:rsid w:val="001542F3"/>
    <w:rsid w:val="001807F2"/>
    <w:rsid w:val="00180C7C"/>
    <w:rsid w:val="00190210"/>
    <w:rsid w:val="00192FB5"/>
    <w:rsid w:val="001E6B6A"/>
    <w:rsid w:val="00202ECA"/>
    <w:rsid w:val="00211F5F"/>
    <w:rsid w:val="00221D16"/>
    <w:rsid w:val="00226605"/>
    <w:rsid w:val="0023732D"/>
    <w:rsid w:val="00247DD7"/>
    <w:rsid w:val="00263561"/>
    <w:rsid w:val="0027786C"/>
    <w:rsid w:val="002821AD"/>
    <w:rsid w:val="0028541F"/>
    <w:rsid w:val="002921BB"/>
    <w:rsid w:val="002A27EC"/>
    <w:rsid w:val="002B015F"/>
    <w:rsid w:val="002C59CD"/>
    <w:rsid w:val="00305449"/>
    <w:rsid w:val="003268BF"/>
    <w:rsid w:val="00327411"/>
    <w:rsid w:val="003306D4"/>
    <w:rsid w:val="0033610E"/>
    <w:rsid w:val="00341552"/>
    <w:rsid w:val="0034402B"/>
    <w:rsid w:val="00350960"/>
    <w:rsid w:val="00360C14"/>
    <w:rsid w:val="00361E13"/>
    <w:rsid w:val="00362D1F"/>
    <w:rsid w:val="00370701"/>
    <w:rsid w:val="00377BBB"/>
    <w:rsid w:val="00385416"/>
    <w:rsid w:val="003A09B2"/>
    <w:rsid w:val="003B0567"/>
    <w:rsid w:val="003B61BC"/>
    <w:rsid w:val="003B6855"/>
    <w:rsid w:val="003E2D42"/>
    <w:rsid w:val="00402F19"/>
    <w:rsid w:val="0040406E"/>
    <w:rsid w:val="004079E9"/>
    <w:rsid w:val="00410613"/>
    <w:rsid w:val="00411421"/>
    <w:rsid w:val="00416D48"/>
    <w:rsid w:val="00420859"/>
    <w:rsid w:val="00445E54"/>
    <w:rsid w:val="004563AF"/>
    <w:rsid w:val="004702BA"/>
    <w:rsid w:val="004734A5"/>
    <w:rsid w:val="004736D2"/>
    <w:rsid w:val="00486CD2"/>
    <w:rsid w:val="004A01A3"/>
    <w:rsid w:val="004A0F1E"/>
    <w:rsid w:val="004C7DF5"/>
    <w:rsid w:val="004E3393"/>
    <w:rsid w:val="004E63CA"/>
    <w:rsid w:val="004E7FB5"/>
    <w:rsid w:val="004F68A7"/>
    <w:rsid w:val="00503A80"/>
    <w:rsid w:val="0052605E"/>
    <w:rsid w:val="005319B5"/>
    <w:rsid w:val="0053642D"/>
    <w:rsid w:val="00560B55"/>
    <w:rsid w:val="00561AFB"/>
    <w:rsid w:val="00566428"/>
    <w:rsid w:val="0057103A"/>
    <w:rsid w:val="005737E4"/>
    <w:rsid w:val="005740C2"/>
    <w:rsid w:val="0058131A"/>
    <w:rsid w:val="005B7AAF"/>
    <w:rsid w:val="005C0B8E"/>
    <w:rsid w:val="005D35A7"/>
    <w:rsid w:val="0061049D"/>
    <w:rsid w:val="00612896"/>
    <w:rsid w:val="00620817"/>
    <w:rsid w:val="00645B3B"/>
    <w:rsid w:val="00653F28"/>
    <w:rsid w:val="00690200"/>
    <w:rsid w:val="0069719D"/>
    <w:rsid w:val="006A0F1E"/>
    <w:rsid w:val="006A1F0E"/>
    <w:rsid w:val="006A5686"/>
    <w:rsid w:val="006F005A"/>
    <w:rsid w:val="007028E0"/>
    <w:rsid w:val="007357D0"/>
    <w:rsid w:val="007360D6"/>
    <w:rsid w:val="00752D87"/>
    <w:rsid w:val="00755392"/>
    <w:rsid w:val="00780F3B"/>
    <w:rsid w:val="00795176"/>
    <w:rsid w:val="007A181F"/>
    <w:rsid w:val="007A52A8"/>
    <w:rsid w:val="007B60A6"/>
    <w:rsid w:val="007C1EF3"/>
    <w:rsid w:val="007D5A77"/>
    <w:rsid w:val="007D7F7A"/>
    <w:rsid w:val="00805462"/>
    <w:rsid w:val="00810883"/>
    <w:rsid w:val="0081626D"/>
    <w:rsid w:val="00830036"/>
    <w:rsid w:val="0084755E"/>
    <w:rsid w:val="00865DC2"/>
    <w:rsid w:val="00867E82"/>
    <w:rsid w:val="0087346E"/>
    <w:rsid w:val="0088729A"/>
    <w:rsid w:val="008A0122"/>
    <w:rsid w:val="008C33BC"/>
    <w:rsid w:val="008C7FEF"/>
    <w:rsid w:val="008D61D1"/>
    <w:rsid w:val="008F1891"/>
    <w:rsid w:val="008F1B71"/>
    <w:rsid w:val="008F1D67"/>
    <w:rsid w:val="008F39FB"/>
    <w:rsid w:val="0090220E"/>
    <w:rsid w:val="00906641"/>
    <w:rsid w:val="00907990"/>
    <w:rsid w:val="00934E38"/>
    <w:rsid w:val="00936877"/>
    <w:rsid w:val="00942EF5"/>
    <w:rsid w:val="00956C5C"/>
    <w:rsid w:val="00957DDB"/>
    <w:rsid w:val="00973C75"/>
    <w:rsid w:val="00980BEB"/>
    <w:rsid w:val="00981F73"/>
    <w:rsid w:val="00991EBF"/>
    <w:rsid w:val="00995968"/>
    <w:rsid w:val="009A0361"/>
    <w:rsid w:val="009A0A09"/>
    <w:rsid w:val="009C1366"/>
    <w:rsid w:val="009C49F6"/>
    <w:rsid w:val="009D29DE"/>
    <w:rsid w:val="009F054F"/>
    <w:rsid w:val="00A06867"/>
    <w:rsid w:val="00A1080F"/>
    <w:rsid w:val="00A211C8"/>
    <w:rsid w:val="00A220BB"/>
    <w:rsid w:val="00A46BA1"/>
    <w:rsid w:val="00A576B1"/>
    <w:rsid w:val="00A676E8"/>
    <w:rsid w:val="00A77DDC"/>
    <w:rsid w:val="00A82E6D"/>
    <w:rsid w:val="00A93D51"/>
    <w:rsid w:val="00A957CE"/>
    <w:rsid w:val="00A97C83"/>
    <w:rsid w:val="00AC41B1"/>
    <w:rsid w:val="00AC504D"/>
    <w:rsid w:val="00AC6A5F"/>
    <w:rsid w:val="00AD3301"/>
    <w:rsid w:val="00AD708C"/>
    <w:rsid w:val="00AD71DC"/>
    <w:rsid w:val="00AF06F1"/>
    <w:rsid w:val="00B066ED"/>
    <w:rsid w:val="00B20588"/>
    <w:rsid w:val="00B45DD2"/>
    <w:rsid w:val="00B52863"/>
    <w:rsid w:val="00B62D7C"/>
    <w:rsid w:val="00B65132"/>
    <w:rsid w:val="00B66476"/>
    <w:rsid w:val="00B97E47"/>
    <w:rsid w:val="00BA6B8A"/>
    <w:rsid w:val="00BB6C42"/>
    <w:rsid w:val="00BC2AB9"/>
    <w:rsid w:val="00BD6DB6"/>
    <w:rsid w:val="00BE32C6"/>
    <w:rsid w:val="00BE78ED"/>
    <w:rsid w:val="00C07F44"/>
    <w:rsid w:val="00C22332"/>
    <w:rsid w:val="00C36FE1"/>
    <w:rsid w:val="00C4639C"/>
    <w:rsid w:val="00C51FAF"/>
    <w:rsid w:val="00C524B3"/>
    <w:rsid w:val="00C52E09"/>
    <w:rsid w:val="00C552FE"/>
    <w:rsid w:val="00C554FE"/>
    <w:rsid w:val="00C56B5A"/>
    <w:rsid w:val="00C633F8"/>
    <w:rsid w:val="00C75039"/>
    <w:rsid w:val="00C907B3"/>
    <w:rsid w:val="00CA6977"/>
    <w:rsid w:val="00CB7DFD"/>
    <w:rsid w:val="00CC6DBF"/>
    <w:rsid w:val="00CF0511"/>
    <w:rsid w:val="00D01290"/>
    <w:rsid w:val="00D04B55"/>
    <w:rsid w:val="00D052B8"/>
    <w:rsid w:val="00D2173F"/>
    <w:rsid w:val="00D229F5"/>
    <w:rsid w:val="00D31210"/>
    <w:rsid w:val="00D368A4"/>
    <w:rsid w:val="00D603FB"/>
    <w:rsid w:val="00D66A43"/>
    <w:rsid w:val="00D86E1B"/>
    <w:rsid w:val="00D93DF1"/>
    <w:rsid w:val="00DC1AF9"/>
    <w:rsid w:val="00DC294A"/>
    <w:rsid w:val="00DD6052"/>
    <w:rsid w:val="00DE381C"/>
    <w:rsid w:val="00DE593D"/>
    <w:rsid w:val="00DF3BEB"/>
    <w:rsid w:val="00E107CC"/>
    <w:rsid w:val="00E27B15"/>
    <w:rsid w:val="00E33D12"/>
    <w:rsid w:val="00E576F4"/>
    <w:rsid w:val="00E76130"/>
    <w:rsid w:val="00E91232"/>
    <w:rsid w:val="00E953FC"/>
    <w:rsid w:val="00EC5EE4"/>
    <w:rsid w:val="00EC6427"/>
    <w:rsid w:val="00ED289B"/>
    <w:rsid w:val="00ED5573"/>
    <w:rsid w:val="00EE1D67"/>
    <w:rsid w:val="00EE40D1"/>
    <w:rsid w:val="00EE68DF"/>
    <w:rsid w:val="00F0565D"/>
    <w:rsid w:val="00F06B4D"/>
    <w:rsid w:val="00F102EA"/>
    <w:rsid w:val="00F23FA8"/>
    <w:rsid w:val="00F6691E"/>
    <w:rsid w:val="00F67329"/>
    <w:rsid w:val="00F673E5"/>
    <w:rsid w:val="00F67AE2"/>
    <w:rsid w:val="00F70910"/>
    <w:rsid w:val="00F83363"/>
    <w:rsid w:val="00F847C4"/>
    <w:rsid w:val="00F8793E"/>
    <w:rsid w:val="00F91373"/>
    <w:rsid w:val="00FA0CDF"/>
    <w:rsid w:val="00FA3AB4"/>
    <w:rsid w:val="00FA43CA"/>
    <w:rsid w:val="00FA4460"/>
    <w:rsid w:val="00FF02CE"/>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350960"/>
    <w:pPr>
      <w:tabs>
        <w:tab w:val="clear" w:pos="357"/>
      </w:tabs>
    </w:pPr>
    <w:rPr>
      <w:b/>
    </w:rPr>
  </w:style>
  <w:style w:type="paragraph" w:customStyle="1" w:styleId="JuHIRoman">
    <w:name w:val="Ju_H_I_Roman"/>
    <w:basedOn w:val="JuHHead"/>
    <w:next w:val="JuPara"/>
    <w:link w:val="JuHIRomanChar"/>
    <w:rsid w:val="00350960"/>
    <w:pPr>
      <w:tabs>
        <w:tab w:val="left" w:pos="357"/>
      </w:tabs>
      <w:spacing w:before="360"/>
      <w:ind w:left="357" w:hanging="357"/>
    </w:pPr>
    <w:rPr>
      <w:sz w:val="24"/>
    </w:rPr>
  </w:style>
  <w:style w:type="paragraph" w:customStyle="1" w:styleId="JuHHead">
    <w:name w:val="Ju_H_Head"/>
    <w:basedOn w:val="Normal"/>
    <w:next w:val="JuPara"/>
    <w:rsid w:val="00350960"/>
    <w:pPr>
      <w:keepNext/>
      <w:keepLines/>
      <w:spacing w:before="720" w:after="240"/>
      <w:jc w:val="both"/>
    </w:pPr>
    <w:rPr>
      <w:sz w:val="28"/>
    </w:rPr>
  </w:style>
  <w:style w:type="paragraph" w:customStyle="1" w:styleId="JuPara">
    <w:name w:val="Ju_Para"/>
    <w:aliases w:val="Left,First line:  0 cm"/>
    <w:basedOn w:val="Normal"/>
    <w:link w:val="JuParaCar"/>
    <w:rsid w:val="00350960"/>
    <w:pPr>
      <w:ind w:firstLine="284"/>
      <w:jc w:val="both"/>
    </w:pPr>
  </w:style>
  <w:style w:type="character" w:customStyle="1" w:styleId="JuHIRomanChar">
    <w:name w:val="Ju_H_I_Roman Char"/>
    <w:basedOn w:val="DefaultParagraphFont"/>
    <w:link w:val="JuHIRoman"/>
    <w:rsid w:val="00D31210"/>
    <w:rPr>
      <w:sz w:val="24"/>
      <w:lang w:val="fr-FR" w:eastAsia="fr-FR" w:bidi="ar-SA"/>
    </w:rPr>
  </w:style>
  <w:style w:type="paragraph" w:customStyle="1" w:styleId="OpiPara">
    <w:name w:val="Opi_Para"/>
    <w:basedOn w:val="JuPara"/>
    <w:rsid w:val="00350960"/>
  </w:style>
  <w:style w:type="paragraph" w:customStyle="1" w:styleId="OpiH1">
    <w:name w:val="Opi_H_1."/>
    <w:basedOn w:val="OpiHA"/>
    <w:next w:val="OpiPara"/>
    <w:rsid w:val="00350960"/>
    <w:pPr>
      <w:spacing w:before="240" w:after="120"/>
      <w:ind w:left="635"/>
    </w:pPr>
    <w:rPr>
      <w:b w:val="0"/>
      <w:i/>
    </w:rPr>
  </w:style>
  <w:style w:type="paragraph" w:customStyle="1" w:styleId="OpiHa0">
    <w:name w:val="Opi_H_a"/>
    <w:basedOn w:val="OpiH1"/>
    <w:next w:val="OpiPara"/>
    <w:rsid w:val="00350960"/>
    <w:pPr>
      <w:ind w:left="834"/>
    </w:pPr>
    <w:rPr>
      <w:b/>
      <w:i w:val="0"/>
      <w:sz w:val="20"/>
    </w:rPr>
  </w:style>
  <w:style w:type="paragraph" w:customStyle="1" w:styleId="OpiHHead">
    <w:name w:val="Opi_H_Head"/>
    <w:basedOn w:val="JuHHead"/>
    <w:next w:val="OpiPara"/>
    <w:rsid w:val="00350960"/>
    <w:pPr>
      <w:spacing w:before="0"/>
      <w:jc w:val="center"/>
    </w:pPr>
  </w:style>
  <w:style w:type="paragraph" w:customStyle="1" w:styleId="OpiHi">
    <w:name w:val="Opi_H_i"/>
    <w:basedOn w:val="OpiHa0"/>
    <w:next w:val="OpiPara"/>
    <w:rsid w:val="00350960"/>
    <w:pPr>
      <w:ind w:left="1038"/>
    </w:pPr>
    <w:rPr>
      <w:b w:val="0"/>
      <w:i/>
    </w:rPr>
  </w:style>
  <w:style w:type="paragraph" w:styleId="Footer">
    <w:name w:val="footer"/>
    <w:basedOn w:val="Normal"/>
    <w:rsid w:val="00350960"/>
    <w:pPr>
      <w:tabs>
        <w:tab w:val="center" w:pos="3686"/>
        <w:tab w:val="right" w:pos="7371"/>
      </w:tabs>
    </w:pPr>
    <w:rPr>
      <w:sz w:val="18"/>
    </w:rPr>
  </w:style>
  <w:style w:type="paragraph" w:customStyle="1" w:styleId="JuJudges">
    <w:name w:val="Ju_Judges"/>
    <w:basedOn w:val="Normal"/>
    <w:rsid w:val="00350960"/>
    <w:pPr>
      <w:tabs>
        <w:tab w:val="left" w:pos="567"/>
        <w:tab w:val="left" w:pos="1134"/>
      </w:tabs>
    </w:pPr>
  </w:style>
  <w:style w:type="character" w:styleId="Strong">
    <w:name w:val="Strong"/>
    <w:basedOn w:val="DefaultParagraphFont"/>
    <w:qFormat/>
    <w:rsid w:val="00973C75"/>
    <w:rPr>
      <w:b/>
      <w:bCs/>
    </w:rPr>
  </w:style>
  <w:style w:type="paragraph" w:customStyle="1" w:styleId="JuHA">
    <w:name w:val="Ju_H_A"/>
    <w:basedOn w:val="JuHIRoman"/>
    <w:next w:val="JuPara"/>
    <w:rsid w:val="00350960"/>
    <w:pPr>
      <w:tabs>
        <w:tab w:val="clear" w:pos="357"/>
        <w:tab w:val="left" w:pos="584"/>
      </w:tabs>
      <w:ind w:left="584" w:hanging="352"/>
    </w:pPr>
    <w:rPr>
      <w:b/>
    </w:rPr>
  </w:style>
  <w:style w:type="paragraph" w:customStyle="1" w:styleId="JuQuot">
    <w:name w:val="Ju_Quot"/>
    <w:basedOn w:val="JuPara"/>
    <w:rsid w:val="00350960"/>
    <w:pPr>
      <w:spacing w:before="120" w:after="120"/>
      <w:ind w:left="425" w:firstLine="142"/>
    </w:pPr>
    <w:rPr>
      <w:sz w:val="20"/>
    </w:rPr>
  </w:style>
  <w:style w:type="paragraph" w:customStyle="1" w:styleId="JuSigned">
    <w:name w:val="Ju_Signed"/>
    <w:basedOn w:val="Normal"/>
    <w:next w:val="JuParaLast"/>
    <w:rsid w:val="001524AA"/>
    <w:pPr>
      <w:tabs>
        <w:tab w:val="center" w:pos="1219"/>
        <w:tab w:val="center" w:pos="6379"/>
      </w:tabs>
      <w:spacing w:before="720"/>
    </w:pPr>
  </w:style>
  <w:style w:type="paragraph" w:customStyle="1" w:styleId="JuParaLast">
    <w:name w:val="Ju_Para_Last"/>
    <w:basedOn w:val="JuPara"/>
    <w:next w:val="JuPara"/>
    <w:rsid w:val="00350960"/>
    <w:pPr>
      <w:spacing w:before="240"/>
    </w:pPr>
  </w:style>
  <w:style w:type="paragraph" w:customStyle="1" w:styleId="JuCase">
    <w:name w:val="Ju_Case"/>
    <w:basedOn w:val="JuPara"/>
    <w:next w:val="JuPara"/>
    <w:rsid w:val="00350960"/>
    <w:rPr>
      <w:b/>
    </w:rPr>
  </w:style>
  <w:style w:type="paragraph" w:customStyle="1" w:styleId="JuList">
    <w:name w:val="Ju_List"/>
    <w:basedOn w:val="JuPara"/>
    <w:rsid w:val="00350960"/>
    <w:pPr>
      <w:ind w:left="340" w:hanging="340"/>
    </w:pPr>
  </w:style>
  <w:style w:type="paragraph" w:customStyle="1" w:styleId="JuHArticle">
    <w:name w:val="Ju_H_Article"/>
    <w:basedOn w:val="JuHa0"/>
    <w:next w:val="JuQuot"/>
    <w:rsid w:val="00350960"/>
    <w:pPr>
      <w:ind w:left="0" w:firstLine="0"/>
      <w:jc w:val="center"/>
    </w:pPr>
  </w:style>
  <w:style w:type="paragraph" w:customStyle="1" w:styleId="JuHa0">
    <w:name w:val="Ju_H_a"/>
    <w:basedOn w:val="JuH1"/>
    <w:next w:val="JuPara"/>
    <w:rsid w:val="00350960"/>
    <w:pPr>
      <w:tabs>
        <w:tab w:val="clear" w:pos="731"/>
        <w:tab w:val="left" w:pos="975"/>
      </w:tabs>
      <w:ind w:left="975" w:hanging="340"/>
    </w:pPr>
    <w:rPr>
      <w:b/>
      <w:i w:val="0"/>
      <w:sz w:val="20"/>
    </w:rPr>
  </w:style>
  <w:style w:type="paragraph" w:customStyle="1" w:styleId="JuH1">
    <w:name w:val="Ju_H_1."/>
    <w:basedOn w:val="JuHA"/>
    <w:next w:val="JuPara"/>
    <w:rsid w:val="00350960"/>
    <w:pPr>
      <w:tabs>
        <w:tab w:val="clear" w:pos="584"/>
        <w:tab w:val="left" w:pos="731"/>
      </w:tabs>
      <w:spacing w:before="240" w:after="120"/>
      <w:ind w:left="732" w:hanging="301"/>
    </w:pPr>
    <w:rPr>
      <w:b w:val="0"/>
      <w:i/>
    </w:rPr>
  </w:style>
  <w:style w:type="paragraph" w:customStyle="1" w:styleId="JuCourt">
    <w:name w:val="Ju_Court"/>
    <w:basedOn w:val="JuJudges"/>
    <w:rsid w:val="0035096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50960"/>
  </w:style>
  <w:style w:type="paragraph" w:customStyle="1" w:styleId="OpiTranslation">
    <w:name w:val="Opi_Translation"/>
    <w:basedOn w:val="OpiHHead"/>
    <w:next w:val="OpiPara"/>
    <w:rsid w:val="00350960"/>
    <w:rPr>
      <w:sz w:val="24"/>
    </w:rPr>
  </w:style>
  <w:style w:type="paragraph" w:styleId="FootnoteText">
    <w:name w:val="footnote text"/>
    <w:basedOn w:val="Normal"/>
    <w:semiHidden/>
    <w:rsid w:val="00350960"/>
    <w:pPr>
      <w:jc w:val="both"/>
    </w:pPr>
    <w:rPr>
      <w:sz w:val="20"/>
    </w:rPr>
  </w:style>
  <w:style w:type="character" w:styleId="FootnoteReference">
    <w:name w:val="footnote reference"/>
    <w:basedOn w:val="DefaultParagraphFont"/>
    <w:semiHidden/>
    <w:rsid w:val="00350960"/>
    <w:rPr>
      <w:vertAlign w:val="superscript"/>
    </w:rPr>
  </w:style>
  <w:style w:type="paragraph" w:customStyle="1" w:styleId="JuHi">
    <w:name w:val="Ju_H_i"/>
    <w:basedOn w:val="JuHa0"/>
    <w:next w:val="JuPara"/>
    <w:rsid w:val="00350960"/>
    <w:pPr>
      <w:tabs>
        <w:tab w:val="clear" w:pos="975"/>
        <w:tab w:val="left" w:pos="1191"/>
      </w:tabs>
      <w:ind w:left="1190" w:hanging="357"/>
    </w:pPr>
    <w:rPr>
      <w:b w:val="0"/>
      <w:i/>
    </w:rPr>
  </w:style>
  <w:style w:type="paragraph" w:styleId="Header">
    <w:name w:val="header"/>
    <w:basedOn w:val="Normal"/>
    <w:rsid w:val="00350960"/>
    <w:pPr>
      <w:tabs>
        <w:tab w:val="center" w:pos="3686"/>
        <w:tab w:val="right" w:pos="7371"/>
      </w:tabs>
    </w:pPr>
    <w:rPr>
      <w:sz w:val="18"/>
    </w:rPr>
  </w:style>
  <w:style w:type="character" w:styleId="PageNumber">
    <w:name w:val="page number"/>
    <w:basedOn w:val="DefaultParagraphFont"/>
    <w:rsid w:val="00350960"/>
    <w:rPr>
      <w:sz w:val="18"/>
    </w:rPr>
  </w:style>
  <w:style w:type="paragraph" w:customStyle="1" w:styleId="JuH">
    <w:name w:val="Ju_H_–"/>
    <w:basedOn w:val="JuHalpha"/>
    <w:next w:val="JuPara"/>
    <w:rsid w:val="00350960"/>
    <w:pPr>
      <w:tabs>
        <w:tab w:val="clear" w:pos="1372"/>
      </w:tabs>
      <w:ind w:left="1236" w:firstLine="0"/>
    </w:pPr>
    <w:rPr>
      <w:i/>
    </w:rPr>
  </w:style>
  <w:style w:type="paragraph" w:customStyle="1" w:styleId="JuHalpha">
    <w:name w:val="Ju_H_alpha"/>
    <w:basedOn w:val="JuHi"/>
    <w:next w:val="JuPara"/>
    <w:rsid w:val="00350960"/>
    <w:pPr>
      <w:tabs>
        <w:tab w:val="clear" w:pos="1191"/>
        <w:tab w:val="left" w:pos="1372"/>
      </w:tabs>
      <w:ind w:left="1373" w:hanging="335"/>
    </w:pPr>
    <w:rPr>
      <w:i w:val="0"/>
    </w:rPr>
  </w:style>
  <w:style w:type="paragraph" w:customStyle="1" w:styleId="JuLista">
    <w:name w:val="Ju_List_a"/>
    <w:basedOn w:val="JuList"/>
    <w:rsid w:val="00350960"/>
    <w:pPr>
      <w:ind w:left="346" w:firstLine="0"/>
    </w:pPr>
  </w:style>
  <w:style w:type="paragraph" w:customStyle="1" w:styleId="JuListi">
    <w:name w:val="Ju_List_i"/>
    <w:basedOn w:val="JuLista"/>
    <w:rsid w:val="00350960"/>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350960"/>
    <w:pPr>
      <w:jc w:val="right"/>
    </w:pPr>
  </w:style>
  <w:style w:type="paragraph" w:customStyle="1" w:styleId="JuHeader">
    <w:name w:val="Ju_Header"/>
    <w:basedOn w:val="Header"/>
    <w:rsid w:val="00350960"/>
  </w:style>
  <w:style w:type="paragraph" w:customStyle="1" w:styleId="DecHTitle">
    <w:name w:val="Dec_H_Title"/>
    <w:basedOn w:val="Normal"/>
    <w:rsid w:val="00350960"/>
    <w:pPr>
      <w:spacing w:after="240"/>
      <w:jc w:val="center"/>
    </w:pPr>
    <w:rPr>
      <w:sz w:val="28"/>
    </w:rPr>
  </w:style>
  <w:style w:type="paragraph" w:customStyle="1" w:styleId="DecHCase">
    <w:name w:val="Dec_H_Case"/>
    <w:basedOn w:val="DecHTitle"/>
    <w:next w:val="JuPara"/>
    <w:rsid w:val="00350960"/>
    <w:rPr>
      <w:sz w:val="24"/>
    </w:rPr>
  </w:style>
  <w:style w:type="paragraph" w:customStyle="1" w:styleId="DecList">
    <w:name w:val="Dec_List"/>
    <w:basedOn w:val="Normal"/>
    <w:rsid w:val="00350960"/>
    <w:pPr>
      <w:spacing w:before="240"/>
      <w:ind w:left="284"/>
      <w:jc w:val="both"/>
    </w:pPr>
  </w:style>
  <w:style w:type="paragraph" w:customStyle="1" w:styleId="SuCoverTitle1">
    <w:name w:val="Su_Cover_Title1"/>
    <w:basedOn w:val="Normal"/>
    <w:next w:val="SuCoverTitle2"/>
    <w:rsid w:val="00350960"/>
    <w:pPr>
      <w:spacing w:before="2500"/>
      <w:jc w:val="center"/>
    </w:pPr>
    <w:rPr>
      <w:sz w:val="22"/>
    </w:rPr>
  </w:style>
  <w:style w:type="paragraph" w:customStyle="1" w:styleId="SuCoverTitle2">
    <w:name w:val="Su_Cover_Title2"/>
    <w:basedOn w:val="SuCoverTitle1"/>
    <w:next w:val="Normal"/>
    <w:rsid w:val="00350960"/>
    <w:pPr>
      <w:spacing w:before="240"/>
    </w:pPr>
    <w:rPr>
      <w:sz w:val="18"/>
    </w:rPr>
  </w:style>
  <w:style w:type="paragraph" w:customStyle="1" w:styleId="JuQuotSub">
    <w:name w:val="Ju_Quot_Sub"/>
    <w:basedOn w:val="JuQuot"/>
    <w:rsid w:val="00350960"/>
    <w:pPr>
      <w:ind w:left="567"/>
    </w:pPr>
  </w:style>
  <w:style w:type="paragraph" w:customStyle="1" w:styleId="JuParaSub">
    <w:name w:val="Ju_Para_Sub"/>
    <w:basedOn w:val="JuPara"/>
    <w:rsid w:val="00350960"/>
    <w:pPr>
      <w:ind w:left="284"/>
    </w:pPr>
  </w:style>
  <w:style w:type="paragraph" w:customStyle="1" w:styleId="SuPara">
    <w:name w:val="Su_Para"/>
    <w:basedOn w:val="SuKeywords"/>
    <w:rsid w:val="00350960"/>
    <w:pPr>
      <w:spacing w:before="0" w:after="0"/>
    </w:pPr>
    <w:rPr>
      <w:i w:val="0"/>
    </w:rPr>
  </w:style>
  <w:style w:type="paragraph" w:customStyle="1" w:styleId="SuKeywords">
    <w:name w:val="Su_Keywords"/>
    <w:basedOn w:val="SuHHead"/>
    <w:rsid w:val="00350960"/>
    <w:pPr>
      <w:spacing w:before="120"/>
    </w:pPr>
    <w:rPr>
      <w:b w:val="0"/>
      <w:i/>
    </w:rPr>
  </w:style>
  <w:style w:type="paragraph" w:customStyle="1" w:styleId="SuHHead">
    <w:name w:val="Su_H_Head"/>
    <w:basedOn w:val="SuSubject"/>
    <w:rsid w:val="00350960"/>
    <w:pPr>
      <w:spacing w:after="120"/>
    </w:pPr>
  </w:style>
  <w:style w:type="paragraph" w:customStyle="1" w:styleId="SuSubject">
    <w:name w:val="Su_Subject"/>
    <w:basedOn w:val="SuSummary"/>
    <w:rsid w:val="00350960"/>
    <w:pPr>
      <w:spacing w:before="360"/>
      <w:jc w:val="both"/>
    </w:pPr>
    <w:rPr>
      <w:b/>
      <w:sz w:val="22"/>
    </w:rPr>
  </w:style>
  <w:style w:type="paragraph" w:customStyle="1" w:styleId="SuSummary">
    <w:name w:val="Su_Summary"/>
    <w:basedOn w:val="Normal"/>
    <w:next w:val="SuSubject"/>
    <w:rsid w:val="00350960"/>
    <w:pPr>
      <w:spacing w:after="240"/>
      <w:jc w:val="center"/>
    </w:pPr>
  </w:style>
  <w:style w:type="paragraph" w:styleId="BalloonText">
    <w:name w:val="Balloon Text"/>
    <w:basedOn w:val="Normal"/>
    <w:semiHidden/>
    <w:rsid w:val="00EC6427"/>
    <w:rPr>
      <w:rFonts w:ascii="Tahoma" w:hAnsi="Tahoma" w:cs="Tahoma"/>
      <w:sz w:val="16"/>
      <w:szCs w:val="16"/>
    </w:rPr>
  </w:style>
  <w:style w:type="paragraph" w:customStyle="1" w:styleId="JuParaChar">
    <w:name w:val="Ju_Para Char"/>
    <w:basedOn w:val="Normal"/>
    <w:link w:val="JuParaCharChar"/>
    <w:rsid w:val="00D31210"/>
    <w:pPr>
      <w:ind w:firstLine="284"/>
    </w:pPr>
  </w:style>
  <w:style w:type="character" w:customStyle="1" w:styleId="JuParaCharChar">
    <w:name w:val="Ju_Para Char Char"/>
    <w:basedOn w:val="DefaultParagraphFont"/>
    <w:link w:val="JuParaChar"/>
    <w:rsid w:val="00D31210"/>
    <w:rPr>
      <w:sz w:val="24"/>
      <w:lang w:val="fr-FR" w:eastAsia="fr-FR" w:bidi="ar-SA"/>
    </w:rPr>
  </w:style>
  <w:style w:type="paragraph" w:customStyle="1" w:styleId="PJuPara">
    <w:name w:val="P_Ju_Para"/>
    <w:basedOn w:val="Normal"/>
    <w:rsid w:val="00350960"/>
    <w:pPr>
      <w:ind w:firstLine="284"/>
      <w:jc w:val="both"/>
    </w:pPr>
  </w:style>
  <w:style w:type="paragraph" w:customStyle="1" w:styleId="PJuQuot">
    <w:name w:val="P_Ju_Quot"/>
    <w:basedOn w:val="Normal"/>
    <w:rsid w:val="00350960"/>
    <w:pPr>
      <w:spacing w:before="120" w:after="120"/>
      <w:ind w:left="403" w:firstLine="176"/>
      <w:jc w:val="both"/>
    </w:pPr>
    <w:rPr>
      <w:sz w:val="20"/>
    </w:rPr>
  </w:style>
  <w:style w:type="paragraph" w:customStyle="1" w:styleId="PListArticleSubject">
    <w:name w:val="P_List_ArticleSubject"/>
    <w:basedOn w:val="Normal"/>
    <w:rsid w:val="00350960"/>
    <w:pPr>
      <w:tabs>
        <w:tab w:val="left" w:pos="2977"/>
      </w:tabs>
      <w:ind w:left="2977" w:hanging="2977"/>
    </w:pPr>
  </w:style>
  <w:style w:type="paragraph" w:customStyle="1" w:styleId="PListCaseNo">
    <w:name w:val="P_List_CaseNo"/>
    <w:basedOn w:val="Normal"/>
    <w:rsid w:val="00350960"/>
    <w:pPr>
      <w:tabs>
        <w:tab w:val="left" w:pos="1276"/>
      </w:tabs>
      <w:spacing w:line="288" w:lineRule="auto"/>
      <w:ind w:left="1276" w:hanging="1276"/>
    </w:pPr>
  </w:style>
  <w:style w:type="paragraph" w:customStyle="1" w:styleId="PListCases">
    <w:name w:val="P_List_Cases"/>
    <w:basedOn w:val="Normal"/>
    <w:rsid w:val="00350960"/>
    <w:pPr>
      <w:spacing w:line="288" w:lineRule="auto"/>
    </w:pPr>
  </w:style>
  <w:style w:type="paragraph" w:customStyle="1" w:styleId="PTextIntro">
    <w:name w:val="P_Text_Intro"/>
    <w:basedOn w:val="Normal"/>
    <w:rsid w:val="00350960"/>
    <w:pPr>
      <w:jc w:val="both"/>
    </w:pPr>
    <w:rPr>
      <w:i/>
      <w:sz w:val="20"/>
    </w:rPr>
  </w:style>
  <w:style w:type="paragraph" w:customStyle="1" w:styleId="PTitleCover">
    <w:name w:val="P_Title_Cover"/>
    <w:basedOn w:val="Normal"/>
    <w:rsid w:val="00350960"/>
    <w:pPr>
      <w:spacing w:before="2500"/>
      <w:jc w:val="center"/>
    </w:pPr>
    <w:rPr>
      <w:b/>
      <w:smallCaps/>
      <w:sz w:val="30"/>
    </w:rPr>
  </w:style>
  <w:style w:type="paragraph" w:customStyle="1" w:styleId="PTitle1Alpha">
    <w:name w:val="P_Title1_Alpha"/>
    <w:basedOn w:val="Normal"/>
    <w:next w:val="Normal"/>
    <w:rsid w:val="00350960"/>
    <w:pPr>
      <w:spacing w:after="120"/>
      <w:jc w:val="center"/>
    </w:pPr>
    <w:rPr>
      <w:b/>
      <w:smallCaps/>
      <w:sz w:val="30"/>
    </w:rPr>
  </w:style>
  <w:style w:type="paragraph" w:customStyle="1" w:styleId="PTitle1IndexArticle">
    <w:name w:val="P_Title1_IndexArticle"/>
    <w:basedOn w:val="Normal"/>
    <w:rsid w:val="00350960"/>
    <w:pPr>
      <w:spacing w:after="120"/>
      <w:jc w:val="center"/>
    </w:pPr>
    <w:rPr>
      <w:b/>
      <w:smallCaps/>
      <w:sz w:val="30"/>
    </w:rPr>
  </w:style>
  <w:style w:type="paragraph" w:customStyle="1" w:styleId="PTitle1IndexKey">
    <w:name w:val="P_Title1_IndexKey"/>
    <w:basedOn w:val="Normal"/>
    <w:rsid w:val="00350960"/>
    <w:pPr>
      <w:spacing w:after="600"/>
      <w:jc w:val="center"/>
    </w:pPr>
    <w:rPr>
      <w:b/>
      <w:smallCaps/>
      <w:sz w:val="30"/>
      <w:lang w:val="en-GB"/>
    </w:rPr>
  </w:style>
  <w:style w:type="paragraph" w:customStyle="1" w:styleId="PTitle1Num">
    <w:name w:val="P_Title1_Num"/>
    <w:basedOn w:val="Normal"/>
    <w:next w:val="PListCaseNo"/>
    <w:rsid w:val="00350960"/>
    <w:pPr>
      <w:spacing w:after="720"/>
      <w:jc w:val="center"/>
    </w:pPr>
    <w:rPr>
      <w:b/>
      <w:smallCaps/>
      <w:sz w:val="30"/>
    </w:rPr>
  </w:style>
  <w:style w:type="paragraph" w:customStyle="1" w:styleId="PTitle2Country">
    <w:name w:val="P_Title2_Country"/>
    <w:basedOn w:val="Normal"/>
    <w:next w:val="PListCases"/>
    <w:rsid w:val="00350960"/>
    <w:pPr>
      <w:keepNext/>
      <w:keepLines/>
      <w:spacing w:before="600" w:after="360"/>
    </w:pPr>
    <w:rPr>
      <w:b/>
    </w:rPr>
  </w:style>
  <w:style w:type="paragraph" w:customStyle="1" w:styleId="PTitle2Letters">
    <w:name w:val="P_Title2_Letters"/>
    <w:basedOn w:val="Normal"/>
    <w:next w:val="PListCases"/>
    <w:rsid w:val="00350960"/>
    <w:pPr>
      <w:keepNext/>
      <w:keepLines/>
      <w:spacing w:before="600" w:after="360"/>
    </w:pPr>
    <w:rPr>
      <w:b/>
      <w:sz w:val="28"/>
    </w:rPr>
  </w:style>
  <w:style w:type="paragraph" w:customStyle="1" w:styleId="PTitle2Part">
    <w:name w:val="P_Title2_Part"/>
    <w:basedOn w:val="Normal"/>
    <w:rsid w:val="00350960"/>
    <w:pPr>
      <w:keepNext/>
      <w:keepLines/>
      <w:spacing w:before="600" w:after="240"/>
      <w:jc w:val="center"/>
    </w:pPr>
    <w:rPr>
      <w:b/>
      <w:caps/>
    </w:rPr>
  </w:style>
  <w:style w:type="paragraph" w:customStyle="1" w:styleId="PTitle3Article">
    <w:name w:val="P_Title3_Article"/>
    <w:basedOn w:val="Normal"/>
    <w:rsid w:val="00350960"/>
    <w:pPr>
      <w:keepNext/>
      <w:keepLines/>
      <w:spacing w:before="360" w:after="120"/>
      <w:jc w:val="center"/>
    </w:pPr>
    <w:rPr>
      <w:b/>
      <w:smallCaps/>
      <w:sz w:val="22"/>
    </w:rPr>
  </w:style>
  <w:style w:type="paragraph" w:customStyle="1" w:styleId="PTitle4ArticleSub">
    <w:name w:val="P_Title4_Article_Sub"/>
    <w:basedOn w:val="PTitle3Article"/>
    <w:rsid w:val="00350960"/>
    <w:pPr>
      <w:spacing w:before="240"/>
    </w:pPr>
    <w:rPr>
      <w:smallCaps w:val="0"/>
      <w:sz w:val="20"/>
    </w:rPr>
  </w:style>
  <w:style w:type="paragraph" w:customStyle="1" w:styleId="PTitle5Subject">
    <w:name w:val="P_Title5_Subject"/>
    <w:basedOn w:val="Normal"/>
    <w:rsid w:val="00350960"/>
    <w:pPr>
      <w:keepNext/>
      <w:keepLines/>
      <w:spacing w:before="240" w:after="120"/>
      <w:jc w:val="both"/>
    </w:pPr>
    <w:rPr>
      <w:b/>
      <w:i/>
    </w:rPr>
  </w:style>
  <w:style w:type="paragraph" w:customStyle="1" w:styleId="PTitle6SubjectSub">
    <w:name w:val="P_Title6_Subject_Sub"/>
    <w:basedOn w:val="Normal"/>
    <w:rsid w:val="00350960"/>
    <w:pPr>
      <w:keepNext/>
      <w:keepLines/>
      <w:spacing w:before="240" w:after="120"/>
      <w:ind w:left="284"/>
      <w:jc w:val="both"/>
    </w:pPr>
    <w:rPr>
      <w:b/>
      <w:sz w:val="20"/>
    </w:rPr>
  </w:style>
  <w:style w:type="paragraph" w:customStyle="1" w:styleId="PTitle7CaseName">
    <w:name w:val="P_Title7_CaseName"/>
    <w:basedOn w:val="Normal"/>
    <w:rsid w:val="00350960"/>
    <w:pPr>
      <w:keepLines/>
      <w:spacing w:after="240"/>
      <w:jc w:val="right"/>
    </w:pPr>
    <w:rPr>
      <w:sz w:val="22"/>
    </w:rPr>
  </w:style>
  <w:style w:type="paragraph" w:customStyle="1" w:styleId="OpiParaSub">
    <w:name w:val="Opi_Para_Sub"/>
    <w:basedOn w:val="JuParaSub"/>
    <w:rsid w:val="00350960"/>
  </w:style>
  <w:style w:type="paragraph" w:customStyle="1" w:styleId="OpiQuotSub">
    <w:name w:val="Opi_Quot_Sub"/>
    <w:basedOn w:val="JuQuotSub"/>
    <w:rsid w:val="00350960"/>
  </w:style>
  <w:style w:type="paragraph" w:styleId="CommentSubject">
    <w:name w:val="annotation subject"/>
    <w:basedOn w:val="CommentText"/>
    <w:next w:val="CommentText"/>
    <w:semiHidden/>
    <w:rsid w:val="00E27B15"/>
    <w:rPr>
      <w:b/>
      <w:bCs/>
    </w:rPr>
  </w:style>
  <w:style w:type="character" w:customStyle="1" w:styleId="JuParaCar">
    <w:name w:val="Ju_Para Car"/>
    <w:basedOn w:val="DefaultParagraphFont"/>
    <w:link w:val="JuPara"/>
    <w:rsid w:val="009D29DE"/>
    <w:rPr>
      <w:sz w:val="24"/>
      <w:lang w:val="fr-FR" w:eastAsia="fr-FR" w:bidi="ar-SA"/>
    </w:rPr>
  </w:style>
  <w:style w:type="character" w:styleId="Hyperlink">
    <w:name w:val="Hyperlink"/>
    <w:basedOn w:val="DefaultParagraphFont"/>
    <w:rsid w:val="00906641"/>
    <w:rPr>
      <w:color w:val="0000FF"/>
      <w:u w:val="single"/>
    </w:rPr>
  </w:style>
  <w:style w:type="character" w:customStyle="1" w:styleId="JuParaChar1">
    <w:name w:val="Ju_Para Char1"/>
    <w:basedOn w:val="DefaultParagraphFont"/>
    <w:rsid w:val="00CC6DBF"/>
    <w:rPr>
      <w:sz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51C45-953F-4AD7-8713-EA1B3B2C6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059CF2-5B1E-48E0-85A5-8E8CD7C38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5</cp:revision>
  <cp:lastPrinted>2010-11-17T12:29:00Z</cp:lastPrinted>
  <dcterms:created xsi:type="dcterms:W3CDTF">2012-06-12T22:29:00Z</dcterms:created>
  <dcterms:modified xsi:type="dcterms:W3CDTF">2012-06-12T22:29:00Z</dcterms:modified>
  <cp:category>ECHR Template</cp:category>
</cp:coreProperties>
</file>